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A8DB4" w14:textId="194B08DD" w:rsidR="0077002C" w:rsidRDefault="0077002C" w:rsidP="0077002C">
      <w:pPr>
        <w:spacing w:line="360" w:lineRule="auto"/>
        <w:rPr>
          <w:rFonts w:ascii="Palatino Linotype" w:hAnsi="Palatino Linotype"/>
          <w:b/>
          <w:sz w:val="22"/>
          <w:szCs w:val="22"/>
        </w:rPr>
      </w:pPr>
      <w:bookmarkStart w:id="0" w:name="_GoBack"/>
      <w:bookmarkEnd w:id="0"/>
      <w:r w:rsidRPr="00A572E1">
        <w:rPr>
          <w:rFonts w:ascii="Palatino" w:hAnsi="Palatino"/>
          <w:noProof/>
          <w:lang w:eastAsia="en-GB"/>
        </w:rPr>
        <w:drawing>
          <wp:inline distT="0" distB="0" distL="0" distR="0" wp14:anchorId="6E9FB94F" wp14:editId="0095004B">
            <wp:extent cx="2946400" cy="1776413"/>
            <wp:effectExtent l="0" t="0" r="6350" b="0"/>
            <wp:docPr id="12292" name="Picture 4" descr="WA LOG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4" descr="WA LOGO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6400" cy="1776413"/>
                    </a:xfrm>
                    <a:prstGeom prst="rect">
                      <a:avLst/>
                    </a:prstGeom>
                    <a:noFill/>
                    <a:ln>
                      <a:noFill/>
                    </a:ln>
                    <a:extLst/>
                  </pic:spPr>
                </pic:pic>
              </a:graphicData>
            </a:graphic>
          </wp:inline>
        </w:drawing>
      </w:r>
    </w:p>
    <w:p w14:paraId="5EF4FC01" w14:textId="77777777" w:rsidR="00741125" w:rsidRDefault="00741125" w:rsidP="00205B39">
      <w:pPr>
        <w:spacing w:line="360" w:lineRule="auto"/>
        <w:jc w:val="right"/>
        <w:rPr>
          <w:rFonts w:ascii="Palatino Linotype" w:hAnsi="Palatino Linotype"/>
          <w:b/>
          <w:sz w:val="22"/>
          <w:szCs w:val="22"/>
        </w:rPr>
      </w:pPr>
    </w:p>
    <w:p w14:paraId="6FE3EC71" w14:textId="706CF574" w:rsidR="00B77791" w:rsidRDefault="00CF036C" w:rsidP="00205B39">
      <w:pPr>
        <w:spacing w:line="360" w:lineRule="auto"/>
        <w:jc w:val="right"/>
        <w:rPr>
          <w:rFonts w:ascii="Palatino Linotype" w:hAnsi="Palatino Linotype"/>
          <w:b/>
          <w:sz w:val="22"/>
          <w:szCs w:val="22"/>
        </w:rPr>
      </w:pPr>
      <w:r w:rsidRPr="00D74B8A">
        <w:rPr>
          <w:rFonts w:ascii="Palatino Linotype" w:hAnsi="Palatino Linotype"/>
          <w:b/>
          <w:sz w:val="22"/>
          <w:szCs w:val="22"/>
        </w:rPr>
        <w:t>RISK MANAGEMENT IN FAMILY CASES</w:t>
      </w:r>
      <w:r w:rsidR="00D426D1">
        <w:rPr>
          <w:rFonts w:ascii="Palatino Linotype" w:hAnsi="Palatino Linotype"/>
          <w:b/>
          <w:sz w:val="22"/>
          <w:szCs w:val="22"/>
        </w:rPr>
        <w:t xml:space="preserve"> - </w:t>
      </w:r>
    </w:p>
    <w:p w14:paraId="1F51877E" w14:textId="15C7A965" w:rsidR="00216CD4" w:rsidRPr="00D74B8A" w:rsidRDefault="00216CD4" w:rsidP="00205B39">
      <w:pPr>
        <w:spacing w:line="360" w:lineRule="auto"/>
        <w:jc w:val="right"/>
        <w:rPr>
          <w:rFonts w:ascii="Palatino Linotype" w:hAnsi="Palatino Linotype"/>
          <w:b/>
          <w:sz w:val="22"/>
          <w:szCs w:val="22"/>
        </w:rPr>
      </w:pPr>
      <w:r>
        <w:rPr>
          <w:rFonts w:ascii="Palatino Linotype" w:hAnsi="Palatino Linotype"/>
          <w:b/>
          <w:sz w:val="22"/>
          <w:szCs w:val="22"/>
        </w:rPr>
        <w:t>PRE-NUPTIAL AGREEMENTS</w:t>
      </w:r>
    </w:p>
    <w:p w14:paraId="02858C8F" w14:textId="77777777" w:rsidR="004C2C35" w:rsidRPr="00D74B8A" w:rsidRDefault="004C2C35" w:rsidP="00D74B8A">
      <w:pPr>
        <w:spacing w:line="360" w:lineRule="auto"/>
        <w:rPr>
          <w:rFonts w:ascii="Palatino Linotype" w:hAnsi="Palatino Linotype"/>
          <w:b/>
          <w:bCs/>
          <w:sz w:val="22"/>
          <w:szCs w:val="22"/>
        </w:rPr>
      </w:pPr>
    </w:p>
    <w:p w14:paraId="53739C2B" w14:textId="0F350C68" w:rsidR="004C2C35" w:rsidRPr="00D74B8A" w:rsidRDefault="0034164C" w:rsidP="00D74B8A">
      <w:pPr>
        <w:spacing w:line="360" w:lineRule="auto"/>
        <w:rPr>
          <w:rFonts w:ascii="Palatino Linotype" w:hAnsi="Palatino Linotype"/>
          <w:b/>
          <w:bCs/>
          <w:color w:val="000000" w:themeColor="text1"/>
          <w:sz w:val="22"/>
          <w:szCs w:val="22"/>
        </w:rPr>
      </w:pPr>
      <w:r>
        <w:rPr>
          <w:rFonts w:ascii="Palatino Linotype" w:hAnsi="Palatino Linotype"/>
          <w:b/>
          <w:bCs/>
          <w:sz w:val="22"/>
          <w:szCs w:val="22"/>
        </w:rPr>
        <w:t xml:space="preserve">[1]  </w:t>
      </w:r>
      <w:r w:rsidR="000049D2" w:rsidRPr="00D74B8A">
        <w:rPr>
          <w:rFonts w:ascii="Palatino Linotype" w:hAnsi="Palatino Linotype"/>
          <w:b/>
          <w:bCs/>
          <w:sz w:val="22"/>
          <w:szCs w:val="22"/>
        </w:rPr>
        <w:t>Risk</w:t>
      </w:r>
      <w:r w:rsidR="004C2C35" w:rsidRPr="00D74B8A">
        <w:rPr>
          <w:rFonts w:ascii="Palatino Linotype" w:hAnsi="Palatino Linotype"/>
          <w:b/>
          <w:bCs/>
          <w:color w:val="000000" w:themeColor="text1"/>
          <w:sz w:val="22"/>
          <w:szCs w:val="22"/>
        </w:rPr>
        <w:t>:</w:t>
      </w:r>
    </w:p>
    <w:p w14:paraId="52ADBE7F" w14:textId="40866FA1" w:rsidR="004C2C35" w:rsidRPr="00D74B8A" w:rsidRDefault="000049D2" w:rsidP="00D74B8A">
      <w:pPr>
        <w:pStyle w:val="ListParagraph"/>
        <w:numPr>
          <w:ilvl w:val="0"/>
          <w:numId w:val="1"/>
        </w:numPr>
        <w:spacing w:line="360" w:lineRule="auto"/>
        <w:rPr>
          <w:rFonts w:ascii="Palatino Linotype" w:eastAsia="Times New Roman" w:hAnsi="Palatino Linotype" w:cs="Times New Roman"/>
          <w:b/>
          <w:color w:val="000000" w:themeColor="text1"/>
          <w:sz w:val="22"/>
          <w:szCs w:val="22"/>
          <w:lang w:eastAsia="en-GB"/>
        </w:rPr>
      </w:pPr>
      <w:r w:rsidRPr="00D74B8A">
        <w:rPr>
          <w:rFonts w:ascii="Palatino Linotype" w:hAnsi="Palatino Linotype"/>
          <w:b/>
          <w:color w:val="000000" w:themeColor="text1"/>
          <w:sz w:val="22"/>
          <w:szCs w:val="22"/>
        </w:rPr>
        <w:t xml:space="preserve">the potential of gaining or losing something of value -  </w:t>
      </w:r>
      <w:r w:rsidRPr="0080501E">
        <w:rPr>
          <w:rFonts w:ascii="Palatino Linotype" w:eastAsia="Times New Roman" w:hAnsi="Palatino Linotype" w:cs="Times New Roman"/>
          <w:b/>
          <w:i/>
          <w:color w:val="000000" w:themeColor="text1"/>
          <w:sz w:val="22"/>
          <w:szCs w:val="22"/>
          <w:shd w:val="clear" w:color="auto" w:fill="FFFFFF"/>
          <w:lang w:eastAsia="en-GB"/>
        </w:rPr>
        <w:t>Wikipedia</w:t>
      </w:r>
    </w:p>
    <w:p w14:paraId="6DBF492B" w14:textId="22841781" w:rsidR="003C31B6" w:rsidRPr="00D74B8A" w:rsidRDefault="003C31B6" w:rsidP="00D74B8A">
      <w:pPr>
        <w:pStyle w:val="ListParagraph"/>
        <w:numPr>
          <w:ilvl w:val="0"/>
          <w:numId w:val="1"/>
        </w:numPr>
        <w:spacing w:line="360" w:lineRule="auto"/>
        <w:rPr>
          <w:rFonts w:ascii="Palatino Linotype" w:eastAsia="Times New Roman" w:hAnsi="Palatino Linotype" w:cs="Times New Roman"/>
          <w:b/>
          <w:color w:val="000000" w:themeColor="text1"/>
          <w:sz w:val="22"/>
          <w:szCs w:val="22"/>
          <w:lang w:eastAsia="en-GB"/>
        </w:rPr>
      </w:pPr>
      <w:r w:rsidRPr="00D74B8A">
        <w:rPr>
          <w:rFonts w:ascii="Palatino Linotype" w:eastAsia="Times New Roman" w:hAnsi="Palatino Linotype" w:cs="Arial"/>
          <w:b/>
          <w:color w:val="000000" w:themeColor="text1"/>
          <w:sz w:val="22"/>
          <w:szCs w:val="22"/>
          <w:shd w:val="clear" w:color="auto" w:fill="FFFFFF"/>
          <w:lang w:eastAsia="en-GB"/>
        </w:rPr>
        <w:t>a situation involving exposure to danger</w:t>
      </w:r>
      <w:r w:rsidR="00C01C96" w:rsidRPr="00D74B8A">
        <w:rPr>
          <w:rFonts w:ascii="Palatino Linotype" w:eastAsia="Times New Roman" w:hAnsi="Palatino Linotype" w:cs="Arial"/>
          <w:b/>
          <w:color w:val="000000" w:themeColor="text1"/>
          <w:sz w:val="22"/>
          <w:szCs w:val="22"/>
          <w:shd w:val="clear" w:color="auto" w:fill="FFFFFF"/>
          <w:lang w:eastAsia="en-GB"/>
        </w:rPr>
        <w:t xml:space="preserve"> – </w:t>
      </w:r>
      <w:r w:rsidR="00C01C96" w:rsidRPr="0080501E">
        <w:rPr>
          <w:rFonts w:ascii="Palatino Linotype" w:eastAsia="Times New Roman" w:hAnsi="Palatino Linotype" w:cs="Arial"/>
          <w:b/>
          <w:i/>
          <w:color w:val="000000" w:themeColor="text1"/>
          <w:sz w:val="22"/>
          <w:szCs w:val="22"/>
          <w:shd w:val="clear" w:color="auto" w:fill="FFFFFF"/>
          <w:lang w:eastAsia="en-GB"/>
        </w:rPr>
        <w:t xml:space="preserve">Oxford </w:t>
      </w:r>
      <w:r w:rsidR="004C2C35" w:rsidRPr="0080501E">
        <w:rPr>
          <w:rFonts w:ascii="Palatino Linotype" w:eastAsia="Times New Roman" w:hAnsi="Palatino Linotype" w:cs="Arial"/>
          <w:b/>
          <w:i/>
          <w:color w:val="000000" w:themeColor="text1"/>
          <w:sz w:val="22"/>
          <w:szCs w:val="22"/>
          <w:shd w:val="clear" w:color="auto" w:fill="FFFFFF"/>
          <w:lang w:eastAsia="en-GB"/>
        </w:rPr>
        <w:t>dic</w:t>
      </w:r>
      <w:r w:rsidR="00C01C96" w:rsidRPr="0080501E">
        <w:rPr>
          <w:rFonts w:ascii="Palatino Linotype" w:eastAsia="Times New Roman" w:hAnsi="Palatino Linotype" w:cs="Arial"/>
          <w:b/>
          <w:i/>
          <w:color w:val="000000" w:themeColor="text1"/>
          <w:sz w:val="22"/>
          <w:szCs w:val="22"/>
          <w:shd w:val="clear" w:color="auto" w:fill="FFFFFF"/>
          <w:lang w:eastAsia="en-GB"/>
        </w:rPr>
        <w:t>tionary</w:t>
      </w:r>
    </w:p>
    <w:p w14:paraId="696FA8EA" w14:textId="64A30314" w:rsidR="00485F15" w:rsidRPr="00485F15" w:rsidRDefault="009456D5" w:rsidP="00D74B8A">
      <w:pPr>
        <w:pStyle w:val="ListParagraph"/>
        <w:numPr>
          <w:ilvl w:val="0"/>
          <w:numId w:val="1"/>
        </w:numPr>
        <w:spacing w:line="360" w:lineRule="auto"/>
        <w:rPr>
          <w:rFonts w:ascii="Palatino Linotype" w:hAnsi="Palatino Linotype"/>
          <w:b/>
          <w:color w:val="000000" w:themeColor="text1"/>
          <w:sz w:val="22"/>
          <w:szCs w:val="22"/>
        </w:rPr>
      </w:pPr>
      <w:r w:rsidRPr="00D74B8A">
        <w:rPr>
          <w:rFonts w:ascii="Palatino Linotype" w:hAnsi="Palatino Linotype"/>
          <w:b/>
          <w:color w:val="000000" w:themeColor="text1"/>
          <w:sz w:val="22"/>
          <w:szCs w:val="22"/>
        </w:rPr>
        <w:t>the possibility of something bad happening</w:t>
      </w:r>
      <w:r w:rsidR="00C01C96" w:rsidRPr="00D74B8A">
        <w:rPr>
          <w:rFonts w:ascii="Palatino Linotype" w:hAnsi="Palatino Linotype"/>
          <w:b/>
          <w:color w:val="000000" w:themeColor="text1"/>
          <w:sz w:val="22"/>
          <w:szCs w:val="22"/>
        </w:rPr>
        <w:t xml:space="preserve"> – </w:t>
      </w:r>
      <w:r w:rsidR="00C01C96" w:rsidRPr="0080501E">
        <w:rPr>
          <w:rFonts w:ascii="Palatino Linotype" w:hAnsi="Palatino Linotype"/>
          <w:b/>
          <w:i/>
          <w:color w:val="000000" w:themeColor="text1"/>
          <w:sz w:val="22"/>
          <w:szCs w:val="22"/>
        </w:rPr>
        <w:t>Cambridge dictionary</w:t>
      </w:r>
    </w:p>
    <w:p w14:paraId="505E3717" w14:textId="658146FF" w:rsidR="007143BB" w:rsidRPr="003D7370" w:rsidRDefault="003D7370" w:rsidP="00D74B8A">
      <w:pPr>
        <w:spacing w:line="360" w:lineRule="auto"/>
        <w:rPr>
          <w:rFonts w:ascii="Palatino Linotype" w:hAnsi="Palatino Linotype"/>
          <w:sz w:val="22"/>
          <w:szCs w:val="22"/>
        </w:rPr>
      </w:pPr>
      <w:r>
        <w:rPr>
          <w:rFonts w:ascii="Palatino Linotype" w:hAnsi="Palatino Linotype"/>
          <w:sz w:val="22"/>
          <w:szCs w:val="22"/>
        </w:rPr>
        <w:t xml:space="preserve">Not perhaps the </w:t>
      </w:r>
      <w:r w:rsidR="00485F15">
        <w:rPr>
          <w:rFonts w:ascii="Palatino Linotype" w:hAnsi="Palatino Linotype"/>
          <w:sz w:val="22"/>
          <w:szCs w:val="22"/>
        </w:rPr>
        <w:t>issues that immediately leap to mind when contemplating a wedding.</w:t>
      </w:r>
    </w:p>
    <w:p w14:paraId="7BAFFAB6" w14:textId="77777777" w:rsidR="00485F15" w:rsidRDefault="00485F15" w:rsidP="00D74B8A">
      <w:pPr>
        <w:spacing w:line="360" w:lineRule="auto"/>
        <w:rPr>
          <w:rFonts w:ascii="Palatino Linotype" w:hAnsi="Palatino Linotype"/>
          <w:b/>
          <w:sz w:val="22"/>
          <w:szCs w:val="22"/>
        </w:rPr>
      </w:pPr>
    </w:p>
    <w:p w14:paraId="7885FB2A" w14:textId="0129A2A3" w:rsidR="00BE6A33" w:rsidRPr="00D74B8A" w:rsidRDefault="0034164C" w:rsidP="00D74B8A">
      <w:pPr>
        <w:spacing w:line="360" w:lineRule="auto"/>
        <w:rPr>
          <w:rFonts w:ascii="Palatino Linotype" w:hAnsi="Palatino Linotype"/>
          <w:b/>
          <w:sz w:val="22"/>
          <w:szCs w:val="22"/>
        </w:rPr>
      </w:pPr>
      <w:r>
        <w:rPr>
          <w:rFonts w:ascii="Palatino Linotype" w:hAnsi="Palatino Linotype"/>
          <w:b/>
          <w:sz w:val="22"/>
          <w:szCs w:val="22"/>
        </w:rPr>
        <w:t xml:space="preserve">[2]  </w:t>
      </w:r>
      <w:r w:rsidR="007143BB" w:rsidRPr="00D74B8A">
        <w:rPr>
          <w:rFonts w:ascii="Palatino Linotype" w:hAnsi="Palatino Linotype"/>
          <w:b/>
          <w:sz w:val="22"/>
          <w:szCs w:val="22"/>
        </w:rPr>
        <w:t>Pre-nuptial agreements</w:t>
      </w:r>
    </w:p>
    <w:p w14:paraId="49743E6D" w14:textId="35510B2D" w:rsidR="007143BB" w:rsidRPr="00D74B8A" w:rsidRDefault="0034164C" w:rsidP="00D74B8A">
      <w:pPr>
        <w:spacing w:line="360" w:lineRule="auto"/>
        <w:rPr>
          <w:rFonts w:ascii="Palatino Linotype" w:hAnsi="Palatino Linotype"/>
          <w:sz w:val="22"/>
          <w:szCs w:val="22"/>
        </w:rPr>
      </w:pPr>
      <w:r>
        <w:rPr>
          <w:rFonts w:ascii="Palatino Linotype" w:hAnsi="Palatino Linotype"/>
          <w:sz w:val="22"/>
          <w:szCs w:val="22"/>
        </w:rPr>
        <w:t xml:space="preserve">[2.1]  </w:t>
      </w:r>
      <w:r w:rsidR="007143BB" w:rsidRPr="00D74B8A">
        <w:rPr>
          <w:rFonts w:ascii="Palatino Linotype" w:hAnsi="Palatino Linotype"/>
          <w:sz w:val="22"/>
          <w:szCs w:val="22"/>
        </w:rPr>
        <w:t xml:space="preserve">A pre-nuptial agreement is essentially an exercise in managing risk, the risk that the marriage might fail and that the financial consequences of failure may be unacceptable.  </w:t>
      </w:r>
      <w:r w:rsidR="0029495B" w:rsidRPr="00D74B8A">
        <w:rPr>
          <w:rFonts w:ascii="Palatino Linotype" w:hAnsi="Palatino Linotype"/>
          <w:sz w:val="22"/>
          <w:szCs w:val="22"/>
        </w:rPr>
        <w:t xml:space="preserve">The odd thing about pre-nuptial agreements in contemporary Scots law is that we have a well-defined set of principles for financial provision in the event of divorce, that are designed to ensure fairness, and a pre-nuptial agreement is, by definition, an attempt to impose something else.  What is more, the impetus usually comes from the party with the assets, who is seeking to prevent the other party participating in those assets to the extent the law may </w:t>
      </w:r>
      <w:r w:rsidR="00CD699C">
        <w:rPr>
          <w:rFonts w:ascii="Palatino Linotype" w:hAnsi="Palatino Linotype"/>
          <w:sz w:val="22"/>
          <w:szCs w:val="22"/>
        </w:rPr>
        <w:t xml:space="preserve">in the future </w:t>
      </w:r>
      <w:r w:rsidR="0029495B" w:rsidRPr="00D74B8A">
        <w:rPr>
          <w:rFonts w:ascii="Palatino Linotype" w:hAnsi="Palatino Linotype"/>
          <w:sz w:val="22"/>
          <w:szCs w:val="22"/>
        </w:rPr>
        <w:t>regard as fair.</w:t>
      </w:r>
    </w:p>
    <w:p w14:paraId="615FEFD1" w14:textId="77777777" w:rsidR="0029495B" w:rsidRPr="00D74B8A" w:rsidRDefault="0029495B" w:rsidP="00D74B8A">
      <w:pPr>
        <w:spacing w:line="360" w:lineRule="auto"/>
        <w:rPr>
          <w:rFonts w:ascii="Palatino Linotype" w:hAnsi="Palatino Linotype"/>
          <w:sz w:val="22"/>
          <w:szCs w:val="22"/>
        </w:rPr>
      </w:pPr>
    </w:p>
    <w:p w14:paraId="5D0D5B68" w14:textId="01268D87" w:rsidR="00915338" w:rsidRPr="00D74B8A" w:rsidRDefault="0034164C" w:rsidP="00D74B8A">
      <w:pPr>
        <w:spacing w:line="360" w:lineRule="auto"/>
        <w:rPr>
          <w:rFonts w:ascii="Palatino Linotype" w:hAnsi="Palatino Linotype"/>
          <w:sz w:val="22"/>
          <w:szCs w:val="22"/>
        </w:rPr>
      </w:pPr>
      <w:r>
        <w:rPr>
          <w:rFonts w:ascii="Palatino Linotype" w:hAnsi="Palatino Linotype"/>
          <w:sz w:val="22"/>
          <w:szCs w:val="22"/>
        </w:rPr>
        <w:t xml:space="preserve">[2.2]  </w:t>
      </w:r>
      <w:r w:rsidR="0029495B" w:rsidRPr="00D74B8A">
        <w:rPr>
          <w:rFonts w:ascii="Palatino Linotype" w:hAnsi="Palatino Linotype"/>
          <w:sz w:val="22"/>
          <w:szCs w:val="22"/>
        </w:rPr>
        <w:t xml:space="preserve">The Scottish position on pre-nuptial agreements derives from law that pre-dates the Family Law (Scotland) Act 1985. </w:t>
      </w:r>
      <w:r w:rsidR="00915338" w:rsidRPr="00D74B8A">
        <w:rPr>
          <w:rFonts w:ascii="Palatino Linotype" w:hAnsi="Palatino Linotype"/>
          <w:sz w:val="22"/>
          <w:szCs w:val="22"/>
        </w:rPr>
        <w:t xml:space="preserve">In </w:t>
      </w:r>
      <w:r w:rsidR="00915338" w:rsidRPr="00D74B8A">
        <w:rPr>
          <w:rFonts w:ascii="Palatino Linotype" w:hAnsi="Palatino Linotype"/>
          <w:i/>
          <w:sz w:val="22"/>
          <w:szCs w:val="22"/>
        </w:rPr>
        <w:t xml:space="preserve">Thomson v Thomson </w:t>
      </w:r>
      <w:r w:rsidR="00915338" w:rsidRPr="00D74B8A">
        <w:rPr>
          <w:rFonts w:ascii="Palatino Linotype" w:hAnsi="Palatino Linotype"/>
          <w:bCs/>
          <w:sz w:val="22"/>
          <w:szCs w:val="22"/>
        </w:rPr>
        <w:t>1981 S.C. 344 Lord Cameron, in the First Division of the Court of Session, explained</w:t>
      </w:r>
      <w:r w:rsidR="00915338" w:rsidRPr="00D74B8A">
        <w:rPr>
          <w:rFonts w:ascii="Palatino Linotype" w:hAnsi="Palatino Linotype"/>
          <w:sz w:val="22"/>
          <w:szCs w:val="22"/>
        </w:rPr>
        <w:t>:</w:t>
      </w:r>
      <w:r w:rsidR="00915338" w:rsidRPr="00D74B8A">
        <w:rPr>
          <w:rFonts w:ascii="Palatino Linotype" w:hAnsi="Palatino Linotype" w:cs="Trebuchet MS"/>
          <w:b/>
          <w:bCs/>
          <w:sz w:val="22"/>
          <w:szCs w:val="22"/>
        </w:rPr>
        <w:t xml:space="preserve"> </w:t>
      </w:r>
    </w:p>
    <w:p w14:paraId="6478891C" w14:textId="77777777" w:rsidR="00915338" w:rsidRPr="00D74B8A" w:rsidRDefault="00915338" w:rsidP="00D74B8A">
      <w:pPr>
        <w:spacing w:line="360" w:lineRule="auto"/>
        <w:ind w:left="540"/>
        <w:rPr>
          <w:rFonts w:ascii="Palatino Linotype" w:hAnsi="Palatino Linotype"/>
          <w:sz w:val="22"/>
          <w:szCs w:val="22"/>
        </w:rPr>
      </w:pPr>
      <w:r w:rsidRPr="00D74B8A">
        <w:rPr>
          <w:rFonts w:ascii="Palatino Linotype" w:hAnsi="Palatino Linotype"/>
          <w:sz w:val="22"/>
          <w:szCs w:val="22"/>
        </w:rPr>
        <w:t xml:space="preserve">“parties to a marriage contract being of full age are entitled to make such terms as they think fit, including the right to discharge any claim to legal rights on the part of one </w:t>
      </w:r>
      <w:r w:rsidRPr="00D74B8A">
        <w:rPr>
          <w:rFonts w:ascii="Palatino Linotype" w:hAnsi="Palatino Linotype"/>
          <w:sz w:val="22"/>
          <w:szCs w:val="22"/>
        </w:rPr>
        <w:lastRenderedPageBreak/>
        <w:t>spouse on the dissolution of the marriage, whether caused by death, divorce, or any other cause.”</w:t>
      </w:r>
    </w:p>
    <w:p w14:paraId="31928537" w14:textId="17FDC7BC" w:rsidR="00915338" w:rsidRPr="00D74B8A" w:rsidRDefault="00020F78" w:rsidP="00D74B8A">
      <w:pPr>
        <w:spacing w:line="360" w:lineRule="auto"/>
        <w:rPr>
          <w:rFonts w:ascii="Palatino Linotype" w:hAnsi="Palatino Linotype"/>
          <w:sz w:val="22"/>
          <w:szCs w:val="22"/>
        </w:rPr>
      </w:pPr>
      <w:r w:rsidRPr="00D74B8A">
        <w:rPr>
          <w:rFonts w:ascii="Palatino Linotype" w:hAnsi="Palatino Linotype"/>
          <w:sz w:val="22"/>
          <w:szCs w:val="22"/>
        </w:rPr>
        <w:t xml:space="preserve">In </w:t>
      </w:r>
      <w:r w:rsidR="007B4A20" w:rsidRPr="00D74B8A">
        <w:rPr>
          <w:rFonts w:ascii="Palatino Linotype" w:hAnsi="Palatino Linotype"/>
          <w:i/>
          <w:sz w:val="22"/>
          <w:szCs w:val="22"/>
        </w:rPr>
        <w:t>Elder v Elder</w:t>
      </w:r>
      <w:r w:rsidRPr="00D74B8A">
        <w:rPr>
          <w:rFonts w:ascii="Palatino Linotype" w:hAnsi="Palatino Linotype"/>
          <w:i/>
          <w:sz w:val="22"/>
          <w:szCs w:val="22"/>
        </w:rPr>
        <w:t xml:space="preserve"> </w:t>
      </w:r>
      <w:r w:rsidRPr="00D74B8A">
        <w:rPr>
          <w:rFonts w:ascii="Palatino Linotype" w:hAnsi="Palatino Linotype"/>
          <w:sz w:val="22"/>
          <w:szCs w:val="22"/>
        </w:rPr>
        <w:t>1985 SLT 471 Lord Mac</w:t>
      </w:r>
      <w:r w:rsidR="00CD699C">
        <w:rPr>
          <w:rFonts w:ascii="Palatino Linotype" w:hAnsi="Palatino Linotype"/>
          <w:sz w:val="22"/>
          <w:szCs w:val="22"/>
        </w:rPr>
        <w:t xml:space="preserve">kay of Clashfern held that </w:t>
      </w:r>
      <w:r w:rsidR="00CD699C">
        <w:rPr>
          <w:rFonts w:ascii="Palatino Linotype" w:hAnsi="Palatino Linotype"/>
          <w:i/>
          <w:sz w:val="22"/>
          <w:szCs w:val="22"/>
        </w:rPr>
        <w:t xml:space="preserve">Thomson </w:t>
      </w:r>
      <w:r w:rsidRPr="00D74B8A">
        <w:rPr>
          <w:rFonts w:ascii="Palatino Linotype" w:hAnsi="Palatino Linotype"/>
          <w:sz w:val="22"/>
          <w:szCs w:val="22"/>
        </w:rPr>
        <w:t xml:space="preserve">was binding authority to the effect that the right to claim a periodical allowance under the Divorce (Scotland) Act 1976 could be </w:t>
      </w:r>
      <w:r w:rsidR="0046040D" w:rsidRPr="00D74B8A">
        <w:rPr>
          <w:rFonts w:ascii="Palatino Linotype" w:hAnsi="Palatino Linotype"/>
          <w:sz w:val="22"/>
          <w:szCs w:val="22"/>
        </w:rPr>
        <w:t xml:space="preserve">validly discharged.  This decision has been cited in support of the same proposition </w:t>
      </w:r>
      <w:r w:rsidRPr="00D74B8A">
        <w:rPr>
          <w:rFonts w:ascii="Palatino Linotype" w:hAnsi="Palatino Linotype"/>
          <w:sz w:val="22"/>
          <w:szCs w:val="22"/>
        </w:rPr>
        <w:t xml:space="preserve">under the Family Law (Scotland) Act 1985.  </w:t>
      </w:r>
    </w:p>
    <w:p w14:paraId="72324E77" w14:textId="77777777" w:rsidR="00623460" w:rsidRPr="00D74B8A" w:rsidRDefault="00623460" w:rsidP="00D74B8A">
      <w:pPr>
        <w:spacing w:line="360" w:lineRule="auto"/>
        <w:rPr>
          <w:rFonts w:ascii="Palatino Linotype" w:hAnsi="Palatino Linotype"/>
          <w:sz w:val="22"/>
          <w:szCs w:val="22"/>
        </w:rPr>
      </w:pPr>
    </w:p>
    <w:p w14:paraId="0EF9303B" w14:textId="3F101A4B" w:rsidR="00623460" w:rsidRPr="00D74B8A" w:rsidRDefault="0034164C" w:rsidP="00D74B8A">
      <w:pPr>
        <w:spacing w:line="360" w:lineRule="auto"/>
        <w:rPr>
          <w:rFonts w:ascii="Palatino Linotype" w:hAnsi="Palatino Linotype"/>
          <w:sz w:val="22"/>
          <w:szCs w:val="22"/>
        </w:rPr>
      </w:pPr>
      <w:r>
        <w:rPr>
          <w:rFonts w:ascii="Palatino Linotype" w:hAnsi="Palatino Linotype"/>
          <w:sz w:val="22"/>
          <w:szCs w:val="22"/>
        </w:rPr>
        <w:t xml:space="preserve">[2.3]  </w:t>
      </w:r>
      <w:r w:rsidR="00623460" w:rsidRPr="00D74B8A">
        <w:rPr>
          <w:rFonts w:ascii="Palatino Linotype" w:hAnsi="Palatino Linotype"/>
          <w:sz w:val="22"/>
          <w:szCs w:val="22"/>
        </w:rPr>
        <w:t xml:space="preserve">On the other hand, section 16 of the Family Law (Scotland) Act 1985 allows the court to set aside an agreement on financial provision, or any term of it, where the agreement was not fair and reasonable at the time it was entered into.  This provision was applied to a pre-nuptial agreement by Sheriff Principal Dunlop in </w:t>
      </w:r>
      <w:r w:rsidR="00623460" w:rsidRPr="00D74B8A">
        <w:rPr>
          <w:rFonts w:ascii="Palatino Linotype" w:hAnsi="Palatino Linotype"/>
          <w:i/>
          <w:sz w:val="22"/>
          <w:szCs w:val="22"/>
        </w:rPr>
        <w:t xml:space="preserve">Kibble v Kibble </w:t>
      </w:r>
      <w:r w:rsidR="00623460" w:rsidRPr="00D74B8A">
        <w:rPr>
          <w:rFonts w:ascii="Palatino Linotype" w:hAnsi="Palatino Linotype"/>
          <w:sz w:val="22"/>
          <w:szCs w:val="22"/>
        </w:rPr>
        <w:t xml:space="preserve">2010 S.L.T. (Sh Ct) 5.  </w:t>
      </w:r>
      <w:r w:rsidR="001234BD" w:rsidRPr="00D74B8A">
        <w:rPr>
          <w:rFonts w:ascii="Palatino Linotype" w:hAnsi="Palatino Linotype"/>
          <w:sz w:val="22"/>
          <w:szCs w:val="22"/>
        </w:rPr>
        <w:t xml:space="preserve">It therefore requires to be kept in mind as a counter-balancing consideration in relation to the benefit of a pre-nuptial agreement. </w:t>
      </w:r>
      <w:r w:rsidR="002D7454" w:rsidRPr="00D74B8A">
        <w:rPr>
          <w:rFonts w:ascii="Palatino Linotype" w:hAnsi="Palatino Linotype"/>
          <w:sz w:val="22"/>
          <w:szCs w:val="22"/>
        </w:rPr>
        <w:t xml:space="preserve">To be fair </w:t>
      </w:r>
      <w:r w:rsidR="002D7454" w:rsidRPr="00D74B8A">
        <w:rPr>
          <w:rFonts w:ascii="Palatino Linotype" w:hAnsi="Palatino Linotype"/>
          <w:i/>
          <w:sz w:val="22"/>
          <w:szCs w:val="22"/>
        </w:rPr>
        <w:t xml:space="preserve">Kibble </w:t>
      </w:r>
      <w:r w:rsidR="002D7454" w:rsidRPr="00D74B8A">
        <w:rPr>
          <w:rFonts w:ascii="Palatino Linotype" w:hAnsi="Palatino Linotype"/>
          <w:sz w:val="22"/>
          <w:szCs w:val="22"/>
        </w:rPr>
        <w:t>is the only reported modern Scottish case on pre-nuptial agreements. It does not therefore give us much to go on, but it is worth thinking about these agreements, on the basis that they are likely to be open to future challenge under section 16.</w:t>
      </w:r>
    </w:p>
    <w:p w14:paraId="7F6DA92E" w14:textId="77777777" w:rsidR="00AE180B" w:rsidRPr="00D74B8A" w:rsidRDefault="00AE180B" w:rsidP="00D74B8A">
      <w:pPr>
        <w:spacing w:line="360" w:lineRule="auto"/>
        <w:rPr>
          <w:rFonts w:ascii="Palatino Linotype" w:hAnsi="Palatino Linotype"/>
          <w:sz w:val="22"/>
          <w:szCs w:val="22"/>
        </w:rPr>
      </w:pPr>
    </w:p>
    <w:p w14:paraId="0D50A3AA" w14:textId="67CD91D0" w:rsidR="00D74B8A" w:rsidRPr="00D74B8A" w:rsidRDefault="0034164C" w:rsidP="00D74B8A">
      <w:pPr>
        <w:spacing w:line="360" w:lineRule="auto"/>
        <w:rPr>
          <w:rFonts w:ascii="Palatino Linotype" w:hAnsi="Palatino Linotype"/>
          <w:b/>
          <w:sz w:val="22"/>
          <w:szCs w:val="22"/>
        </w:rPr>
      </w:pPr>
      <w:r>
        <w:rPr>
          <w:rFonts w:ascii="Palatino Linotype" w:hAnsi="Palatino Linotype"/>
          <w:b/>
          <w:sz w:val="22"/>
          <w:szCs w:val="22"/>
        </w:rPr>
        <w:t xml:space="preserve">[3]  </w:t>
      </w:r>
      <w:r w:rsidR="00D74B8A">
        <w:rPr>
          <w:rFonts w:ascii="Palatino Linotype" w:hAnsi="Palatino Linotype"/>
          <w:b/>
          <w:sz w:val="22"/>
          <w:szCs w:val="22"/>
        </w:rPr>
        <w:t>Drafting the</w:t>
      </w:r>
      <w:r w:rsidR="00D74B8A" w:rsidRPr="00D74B8A">
        <w:rPr>
          <w:rFonts w:ascii="Palatino Linotype" w:hAnsi="Palatino Linotype"/>
          <w:b/>
          <w:sz w:val="22"/>
          <w:szCs w:val="22"/>
        </w:rPr>
        <w:t xml:space="preserve"> agreement</w:t>
      </w:r>
    </w:p>
    <w:p w14:paraId="69A3661B" w14:textId="7B4EA2EB" w:rsidR="00D74B8A" w:rsidRPr="00D74B8A" w:rsidRDefault="0034164C" w:rsidP="00D74B8A">
      <w:pPr>
        <w:spacing w:line="360" w:lineRule="auto"/>
        <w:rPr>
          <w:rFonts w:ascii="Palatino Linotype" w:hAnsi="Palatino Linotype"/>
          <w:sz w:val="22"/>
          <w:szCs w:val="22"/>
        </w:rPr>
      </w:pPr>
      <w:r>
        <w:rPr>
          <w:rFonts w:ascii="Palatino Linotype" w:hAnsi="Palatino Linotype"/>
          <w:sz w:val="22"/>
          <w:szCs w:val="22"/>
        </w:rPr>
        <w:t xml:space="preserve">[3.1]  </w:t>
      </w:r>
      <w:r w:rsidR="00D74B8A" w:rsidRPr="00D74B8A">
        <w:rPr>
          <w:rFonts w:ascii="Palatino Linotype" w:hAnsi="Palatino Linotype"/>
          <w:sz w:val="22"/>
          <w:szCs w:val="22"/>
        </w:rPr>
        <w:t>For any agr</w:t>
      </w:r>
      <w:r w:rsidR="00A97B20">
        <w:rPr>
          <w:rFonts w:ascii="Palatino Linotype" w:hAnsi="Palatino Linotype"/>
          <w:sz w:val="22"/>
          <w:szCs w:val="22"/>
        </w:rPr>
        <w:t>eement, the drafting is important</w:t>
      </w:r>
      <w:r w:rsidR="00D74B8A" w:rsidRPr="00D74B8A">
        <w:rPr>
          <w:rFonts w:ascii="Palatino Linotype" w:hAnsi="Palatino Linotype"/>
          <w:sz w:val="22"/>
          <w:szCs w:val="22"/>
        </w:rPr>
        <w:t>.  If the terms are not clear, then they may be open to challenge.  There is a strong argument for keeping matters as simple and straightforward as possible.  The general position is that the court will</w:t>
      </w:r>
      <w:r w:rsidR="00682231">
        <w:rPr>
          <w:rFonts w:ascii="Palatino Linotype" w:hAnsi="Palatino Linotype"/>
          <w:sz w:val="22"/>
          <w:szCs w:val="22"/>
        </w:rPr>
        <w:t xml:space="preserve"> do its best to</w:t>
      </w:r>
      <w:r w:rsidR="00D74B8A" w:rsidRPr="00D74B8A">
        <w:rPr>
          <w:rFonts w:ascii="Palatino Linotype" w:hAnsi="Palatino Linotype"/>
          <w:sz w:val="22"/>
          <w:szCs w:val="22"/>
        </w:rPr>
        <w:t xml:space="preserve"> give effect to a contract since contracts are intended to have legal effect</w:t>
      </w:r>
      <w:r w:rsidR="002A7719">
        <w:rPr>
          <w:rFonts w:ascii="Palatino Linotype" w:hAnsi="Palatino Linotype"/>
          <w:sz w:val="22"/>
          <w:szCs w:val="22"/>
        </w:rPr>
        <w:t>.</w:t>
      </w:r>
      <w:r w:rsidR="00D74B8A" w:rsidRPr="00D74B8A">
        <w:rPr>
          <w:rFonts w:ascii="Palatino Linotype" w:hAnsi="Palatino Linotype"/>
          <w:sz w:val="22"/>
          <w:szCs w:val="22"/>
        </w:rPr>
        <w:t xml:space="preserve">  For example LP Clyde in </w:t>
      </w:r>
      <w:r w:rsidR="00D74B8A" w:rsidRPr="00D74B8A">
        <w:rPr>
          <w:rFonts w:ascii="Palatino Linotype" w:hAnsi="Palatino Linotype"/>
          <w:i/>
          <w:sz w:val="22"/>
          <w:szCs w:val="22"/>
        </w:rPr>
        <w:t xml:space="preserve">R and J Dempster Ltd v Motherwell Bridge &amp; Eng. Co. Ltd. </w:t>
      </w:r>
      <w:r w:rsidR="00D74B8A" w:rsidRPr="00D74B8A">
        <w:rPr>
          <w:rFonts w:ascii="Palatino Linotype" w:hAnsi="Palatino Linotype"/>
          <w:sz w:val="22"/>
          <w:szCs w:val="22"/>
        </w:rPr>
        <w:t>1964 SC 308/327 said:</w:t>
      </w:r>
    </w:p>
    <w:p w14:paraId="3C91003C" w14:textId="384B1BB1" w:rsidR="00D74B8A" w:rsidRPr="00D74B8A" w:rsidRDefault="00D74B8A" w:rsidP="00D74B8A">
      <w:pPr>
        <w:spacing w:line="360" w:lineRule="auto"/>
        <w:ind w:left="450"/>
        <w:rPr>
          <w:rFonts w:ascii="Palatino Linotype" w:hAnsi="Palatino Linotype"/>
          <w:sz w:val="22"/>
          <w:szCs w:val="22"/>
        </w:rPr>
      </w:pPr>
      <w:r w:rsidRPr="00D74B8A">
        <w:rPr>
          <w:rFonts w:ascii="Palatino Linotype" w:hAnsi="Palatino Linotype"/>
          <w:sz w:val="22"/>
          <w:szCs w:val="22"/>
        </w:rPr>
        <w:t>“</w:t>
      </w:r>
      <w:r w:rsidR="00687551">
        <w:rPr>
          <w:rFonts w:ascii="Palatino Linotype" w:hAnsi="Palatino Linotype"/>
          <w:sz w:val="22"/>
          <w:szCs w:val="22"/>
        </w:rPr>
        <w:t>… when</w:t>
      </w:r>
      <w:r w:rsidRPr="00D74B8A">
        <w:rPr>
          <w:rFonts w:ascii="Palatino Linotype" w:hAnsi="Palatino Linotype"/>
          <w:sz w:val="22"/>
          <w:szCs w:val="22"/>
        </w:rPr>
        <w:t xml:space="preserve"> a court of law is asked to construe a commercial arrangement couched in terms which are </w:t>
      </w:r>
      <w:r w:rsidRPr="00697B46">
        <w:rPr>
          <w:rFonts w:ascii="Palatino Linotype" w:hAnsi="Palatino Linotype"/>
          <w:i/>
          <w:sz w:val="22"/>
          <w:szCs w:val="22"/>
        </w:rPr>
        <w:t>prima facie</w:t>
      </w:r>
      <w:r w:rsidR="00945911">
        <w:rPr>
          <w:rFonts w:ascii="Palatino Linotype" w:hAnsi="Palatino Linotype"/>
          <w:sz w:val="22"/>
          <w:szCs w:val="22"/>
        </w:rPr>
        <w:t xml:space="preserve"> obligatory … </w:t>
      </w:r>
      <w:r w:rsidRPr="00D74B8A">
        <w:rPr>
          <w:rFonts w:ascii="Palatino Linotype" w:hAnsi="Palatino Linotype"/>
          <w:sz w:val="22"/>
          <w:szCs w:val="22"/>
        </w:rPr>
        <w:t xml:space="preserve">the court will prefer a construction which gives the contract binding effect.  For the essence of </w:t>
      </w:r>
      <w:r w:rsidR="0048457F">
        <w:rPr>
          <w:rFonts w:ascii="Palatino Linotype" w:hAnsi="Palatino Linotype"/>
          <w:sz w:val="22"/>
          <w:szCs w:val="22"/>
        </w:rPr>
        <w:t>commerce</w:t>
      </w:r>
      <w:r w:rsidRPr="00D74B8A">
        <w:rPr>
          <w:rFonts w:ascii="Palatino Linotype" w:hAnsi="Palatino Linotype"/>
          <w:sz w:val="22"/>
          <w:szCs w:val="22"/>
        </w:rPr>
        <w:t xml:space="preserve"> is making bargains, and unenforceable arrangements are the exception and not the rule.” </w:t>
      </w:r>
    </w:p>
    <w:p w14:paraId="21C2E340" w14:textId="0582EEF3" w:rsidR="00D74B8A" w:rsidRPr="00D74B8A" w:rsidRDefault="00D74B8A" w:rsidP="00D74B8A">
      <w:pPr>
        <w:spacing w:line="360" w:lineRule="auto"/>
        <w:rPr>
          <w:rFonts w:ascii="Palatino Linotype" w:hAnsi="Palatino Linotype"/>
          <w:sz w:val="22"/>
          <w:szCs w:val="22"/>
        </w:rPr>
      </w:pPr>
      <w:r w:rsidRPr="00D74B8A">
        <w:rPr>
          <w:rFonts w:ascii="Palatino Linotype" w:hAnsi="Palatino Linotype"/>
          <w:sz w:val="22"/>
          <w:szCs w:val="22"/>
        </w:rPr>
        <w:t xml:space="preserve">Lord Woolman </w:t>
      </w:r>
      <w:r w:rsidRPr="00D74B8A">
        <w:rPr>
          <w:rFonts w:ascii="Palatino Linotype" w:hAnsi="Palatino Linotype"/>
          <w:i/>
          <w:sz w:val="22"/>
          <w:szCs w:val="22"/>
        </w:rPr>
        <w:t>Dundee CC and others v D Geddes (Contractors) Ltd</w:t>
      </w:r>
      <w:r w:rsidR="0000602E">
        <w:rPr>
          <w:rFonts w:ascii="Palatino Linotype" w:hAnsi="Palatino Linotype"/>
          <w:sz w:val="22"/>
          <w:szCs w:val="22"/>
        </w:rPr>
        <w:t xml:space="preserve"> [2014] CSOH 164 both confirmed and qualified this proposition</w:t>
      </w:r>
      <w:r w:rsidRPr="00D74B8A">
        <w:rPr>
          <w:rFonts w:ascii="Palatino Linotype" w:hAnsi="Palatino Linotype"/>
          <w:sz w:val="22"/>
          <w:szCs w:val="22"/>
        </w:rPr>
        <w:t xml:space="preserve">: </w:t>
      </w:r>
    </w:p>
    <w:p w14:paraId="4C94E5D7" w14:textId="02458E1C" w:rsidR="00D74B8A" w:rsidRPr="00D74B8A" w:rsidRDefault="00C46172" w:rsidP="00D74B8A">
      <w:pPr>
        <w:spacing w:line="360" w:lineRule="auto"/>
        <w:ind w:left="360"/>
        <w:rPr>
          <w:rFonts w:ascii="Palatino Linotype" w:hAnsi="Palatino Linotype"/>
          <w:sz w:val="22"/>
          <w:szCs w:val="22"/>
        </w:rPr>
      </w:pPr>
      <w:r>
        <w:rPr>
          <w:rFonts w:ascii="Palatino Linotype" w:hAnsi="Palatino Linotype"/>
          <w:sz w:val="22"/>
          <w:szCs w:val="22"/>
        </w:rPr>
        <w:lastRenderedPageBreak/>
        <w:t>“</w:t>
      </w:r>
      <w:r w:rsidR="00D74B8A" w:rsidRPr="00D74B8A">
        <w:rPr>
          <w:rFonts w:ascii="Palatino Linotype" w:hAnsi="Palatino Linotype"/>
          <w:sz w:val="22"/>
          <w:szCs w:val="22"/>
        </w:rPr>
        <w:t xml:space="preserve">The court always strives to adopt a construction that gives effect to a term of a contract, </w:t>
      </w:r>
      <w:r w:rsidR="0000602E">
        <w:rPr>
          <w:rFonts w:ascii="Palatino Linotype" w:hAnsi="Palatino Linotype"/>
          <w:i/>
          <w:iCs/>
          <w:sz w:val="22"/>
          <w:szCs w:val="22"/>
        </w:rPr>
        <w:t xml:space="preserve">…  </w:t>
      </w:r>
      <w:r w:rsidR="00D74B8A" w:rsidRPr="00D74B8A">
        <w:rPr>
          <w:rFonts w:ascii="Palatino Linotype" w:hAnsi="Palatino Linotype"/>
          <w:sz w:val="22"/>
          <w:szCs w:val="22"/>
        </w:rPr>
        <w:t xml:space="preserve">There are, however, limits beyond which it cannot go. It cannot rewrite the parties’ contract.” </w:t>
      </w:r>
    </w:p>
    <w:p w14:paraId="7A98D98E" w14:textId="77777777" w:rsidR="0034164C" w:rsidRDefault="0034164C" w:rsidP="00D74B8A">
      <w:pPr>
        <w:spacing w:line="360" w:lineRule="auto"/>
        <w:rPr>
          <w:rFonts w:ascii="Palatino Linotype" w:hAnsi="Palatino Linotype"/>
          <w:sz w:val="22"/>
          <w:szCs w:val="22"/>
        </w:rPr>
      </w:pPr>
    </w:p>
    <w:p w14:paraId="07424FE9" w14:textId="28E35A49" w:rsidR="00D74B8A" w:rsidRPr="00D74B8A" w:rsidRDefault="0034164C" w:rsidP="00D74B8A">
      <w:pPr>
        <w:spacing w:line="360" w:lineRule="auto"/>
        <w:rPr>
          <w:rFonts w:ascii="Palatino Linotype" w:hAnsi="Palatino Linotype"/>
          <w:sz w:val="22"/>
          <w:szCs w:val="22"/>
        </w:rPr>
      </w:pPr>
      <w:r>
        <w:rPr>
          <w:rFonts w:ascii="Palatino Linotype" w:hAnsi="Palatino Linotype"/>
          <w:sz w:val="22"/>
          <w:szCs w:val="22"/>
        </w:rPr>
        <w:t xml:space="preserve">[3.2]  </w:t>
      </w:r>
      <w:r w:rsidR="00D74B8A" w:rsidRPr="00D74B8A">
        <w:rPr>
          <w:rFonts w:ascii="Palatino Linotype" w:hAnsi="Palatino Linotype"/>
          <w:sz w:val="22"/>
          <w:szCs w:val="22"/>
        </w:rPr>
        <w:t>Even when there is apparent conflict between two provisions the court would only hold the contract void for uncertainty as a last resort (</w:t>
      </w:r>
      <w:r w:rsidR="00D74B8A" w:rsidRPr="0000602E">
        <w:rPr>
          <w:rFonts w:ascii="Palatino Linotype" w:hAnsi="Palatino Linotype"/>
          <w:sz w:val="22"/>
          <w:szCs w:val="22"/>
        </w:rPr>
        <w:t>Lord Macfadyen in</w:t>
      </w:r>
      <w:r w:rsidR="00D74B8A" w:rsidRPr="00D74B8A">
        <w:rPr>
          <w:rFonts w:ascii="Palatino Linotype" w:hAnsi="Palatino Linotype"/>
          <w:i/>
          <w:sz w:val="22"/>
          <w:szCs w:val="22"/>
        </w:rPr>
        <w:t xml:space="preserve"> Ideal Services Scotland Ltd v Premier Glass Packaging Ltd</w:t>
      </w:r>
      <w:r w:rsidR="00D74B8A" w:rsidRPr="00D74B8A">
        <w:rPr>
          <w:rFonts w:ascii="Palatino Linotype" w:hAnsi="Palatino Linotype"/>
          <w:sz w:val="22"/>
          <w:szCs w:val="22"/>
        </w:rPr>
        <w:t xml:space="preserve"> 1999 SLT 134 at 137E - F).  Matters were put rather pithily in the English case of </w:t>
      </w:r>
      <w:r w:rsidR="00D74B8A" w:rsidRPr="00D74B8A">
        <w:rPr>
          <w:rFonts w:ascii="Palatino Linotype" w:hAnsi="Palatino Linotype"/>
          <w:i/>
          <w:sz w:val="22"/>
          <w:szCs w:val="22"/>
        </w:rPr>
        <w:t xml:space="preserve">Brown v Gould </w:t>
      </w:r>
      <w:r w:rsidR="00A97B20">
        <w:rPr>
          <w:rFonts w:ascii="Palatino Linotype" w:hAnsi="Palatino Linotype"/>
          <w:sz w:val="22"/>
          <w:szCs w:val="22"/>
        </w:rPr>
        <w:t>[1972] 1 Ch 53, t</w:t>
      </w:r>
      <w:r w:rsidR="00D74B8A" w:rsidRPr="00D74B8A">
        <w:rPr>
          <w:rFonts w:ascii="Palatino Linotype" w:hAnsi="Palatino Linotype"/>
          <w:sz w:val="22"/>
          <w:szCs w:val="22"/>
        </w:rPr>
        <w:t>he court will not hold an instrument void for uncertainty “unless it is utterly impossible to put a meaning upon it. The duty of the court is to put a fair meaning on the terms used, and not, as was said in one case, to repose on the easy pillow of saying that the whole is void for uncertainty”.</w:t>
      </w:r>
      <w:r w:rsidR="00A97B20">
        <w:rPr>
          <w:rFonts w:ascii="Palatino Linotype" w:hAnsi="Palatino Linotype"/>
          <w:sz w:val="22"/>
          <w:szCs w:val="22"/>
        </w:rPr>
        <w:t xml:space="preserve">  There is therefore reassurance that the court will seek to give effect to </w:t>
      </w:r>
      <w:r w:rsidR="00A2735B">
        <w:rPr>
          <w:rFonts w:ascii="Palatino Linotype" w:hAnsi="Palatino Linotype"/>
          <w:sz w:val="22"/>
          <w:szCs w:val="22"/>
        </w:rPr>
        <w:t>a poorly drafted</w:t>
      </w:r>
      <w:r w:rsidR="00A97B20">
        <w:rPr>
          <w:rFonts w:ascii="Palatino Linotype" w:hAnsi="Palatino Linotype"/>
          <w:sz w:val="22"/>
          <w:szCs w:val="22"/>
        </w:rPr>
        <w:t xml:space="preserve"> agreement, but it would obviously be preferable not to have to invoke this line of authority.  </w:t>
      </w:r>
    </w:p>
    <w:p w14:paraId="16005937" w14:textId="77777777" w:rsidR="00D74B8A" w:rsidRPr="00D74B8A" w:rsidRDefault="00D74B8A" w:rsidP="00D74B8A">
      <w:pPr>
        <w:spacing w:line="360" w:lineRule="auto"/>
        <w:rPr>
          <w:rFonts w:ascii="Palatino Linotype" w:hAnsi="Palatino Linotype"/>
          <w:sz w:val="22"/>
          <w:szCs w:val="22"/>
        </w:rPr>
      </w:pPr>
    </w:p>
    <w:p w14:paraId="266B55F8" w14:textId="7DD8E816" w:rsidR="00D74B8A" w:rsidRPr="00D74B8A" w:rsidRDefault="0034164C" w:rsidP="00D74B8A">
      <w:pPr>
        <w:spacing w:line="360" w:lineRule="auto"/>
        <w:rPr>
          <w:rFonts w:ascii="Palatino Linotype" w:hAnsi="Palatino Linotype"/>
          <w:sz w:val="22"/>
          <w:szCs w:val="22"/>
        </w:rPr>
      </w:pPr>
      <w:r>
        <w:rPr>
          <w:rFonts w:ascii="Palatino Linotype" w:hAnsi="Palatino Linotype"/>
          <w:sz w:val="22"/>
          <w:szCs w:val="22"/>
        </w:rPr>
        <w:t xml:space="preserve">[3.3]  </w:t>
      </w:r>
      <w:r w:rsidR="00D74B8A" w:rsidRPr="00D74B8A">
        <w:rPr>
          <w:rFonts w:ascii="Palatino Linotype" w:hAnsi="Palatino Linotype"/>
          <w:sz w:val="22"/>
          <w:szCs w:val="22"/>
        </w:rPr>
        <w:t>In my experience the most common</w:t>
      </w:r>
      <w:r w:rsidR="00A97B20">
        <w:rPr>
          <w:rFonts w:ascii="Palatino Linotype" w:hAnsi="Palatino Linotype"/>
          <w:sz w:val="22"/>
          <w:szCs w:val="22"/>
        </w:rPr>
        <w:t xml:space="preserve"> substantive error in framing</w:t>
      </w:r>
      <w:r w:rsidR="00D74B8A" w:rsidRPr="00D74B8A">
        <w:rPr>
          <w:rFonts w:ascii="Palatino Linotype" w:hAnsi="Palatino Linotype"/>
          <w:sz w:val="22"/>
          <w:szCs w:val="22"/>
        </w:rPr>
        <w:t xml:space="preserve"> an agreement is to overlook the point that it is the parties who are committed to fulfilling the obligations under the agreement.  If one or both of the parties are involved in a limited company, the company is generally a third party, and is not going to be bound by an agreement between spouses or cohabitants. It may be of no use to provide in a minute of agreement, whether separation, pre-nuptial or cohabitation, that a company will do someth</w:t>
      </w:r>
      <w:r w:rsidR="00A2735B">
        <w:rPr>
          <w:rFonts w:ascii="Palatino Linotype" w:hAnsi="Palatino Linotype"/>
          <w:sz w:val="22"/>
          <w:szCs w:val="22"/>
        </w:rPr>
        <w:t>ing, if the company is not a party to the agreement</w:t>
      </w:r>
      <w:r w:rsidR="00D74B8A" w:rsidRPr="00D74B8A">
        <w:rPr>
          <w:rFonts w:ascii="Palatino Linotype" w:hAnsi="Palatino Linotype"/>
          <w:sz w:val="22"/>
          <w:szCs w:val="22"/>
        </w:rPr>
        <w:t xml:space="preserve">.  For example, if an essential element of the arrangement is that property is transferred by a company, then careful thought is required as to what happens if the company does not do so.  Is the agreement to be abrogated?  Is one of the parties going to undertake an obligation </w:t>
      </w:r>
      <w:r w:rsidR="00A97B20">
        <w:rPr>
          <w:rFonts w:ascii="Palatino Linotype" w:hAnsi="Palatino Linotype"/>
          <w:sz w:val="22"/>
          <w:szCs w:val="22"/>
        </w:rPr>
        <w:t xml:space="preserve">or make a payment </w:t>
      </w:r>
      <w:r w:rsidR="00D74B8A" w:rsidRPr="00D74B8A">
        <w:rPr>
          <w:rFonts w:ascii="Palatino Linotype" w:hAnsi="Palatino Linotype"/>
          <w:sz w:val="22"/>
          <w:szCs w:val="22"/>
        </w:rPr>
        <w:t xml:space="preserve">in lieu?  How is the situation to be managed?  This may be an error that arises more regularly in separation agreements, </w:t>
      </w:r>
      <w:r w:rsidR="00A97B20">
        <w:rPr>
          <w:rFonts w:ascii="Palatino Linotype" w:hAnsi="Palatino Linotype"/>
          <w:sz w:val="22"/>
          <w:szCs w:val="22"/>
        </w:rPr>
        <w:t>than in</w:t>
      </w:r>
      <w:r w:rsidR="00D74B8A" w:rsidRPr="00D74B8A">
        <w:rPr>
          <w:rFonts w:ascii="Palatino Linotype" w:hAnsi="Palatino Linotype"/>
          <w:sz w:val="22"/>
          <w:szCs w:val="22"/>
        </w:rPr>
        <w:t xml:space="preserve"> pre-nuptial agreement</w:t>
      </w:r>
      <w:r w:rsidR="00A97B20">
        <w:rPr>
          <w:rFonts w:ascii="Palatino Linotype" w:hAnsi="Palatino Linotype"/>
          <w:sz w:val="22"/>
          <w:szCs w:val="22"/>
        </w:rPr>
        <w:t>s.  In the latter</w:t>
      </w:r>
      <w:r w:rsidR="00D74B8A" w:rsidRPr="00D74B8A">
        <w:rPr>
          <w:rFonts w:ascii="Palatino Linotype" w:hAnsi="Palatino Linotype"/>
          <w:sz w:val="22"/>
          <w:szCs w:val="22"/>
        </w:rPr>
        <w:t xml:space="preserve"> parties are looking into the </w:t>
      </w:r>
      <w:r w:rsidR="00A2735B">
        <w:rPr>
          <w:rFonts w:ascii="Palatino Linotype" w:hAnsi="Palatino Linotype"/>
          <w:sz w:val="22"/>
          <w:szCs w:val="22"/>
        </w:rPr>
        <w:t>future when an artificial person</w:t>
      </w:r>
      <w:r w:rsidR="00D74B8A" w:rsidRPr="00D74B8A">
        <w:rPr>
          <w:rFonts w:ascii="Palatino Linotype" w:hAnsi="Palatino Linotype"/>
          <w:sz w:val="22"/>
          <w:szCs w:val="22"/>
        </w:rPr>
        <w:t xml:space="preserve"> such as a company may no longer exist and it is to be hoped this has been appreciated when preparing the agreement.</w:t>
      </w:r>
    </w:p>
    <w:p w14:paraId="7ECDCD67" w14:textId="77777777" w:rsidR="00D74B8A" w:rsidRPr="00D74B8A" w:rsidRDefault="00D74B8A" w:rsidP="00D74B8A">
      <w:pPr>
        <w:spacing w:line="360" w:lineRule="auto"/>
        <w:rPr>
          <w:rFonts w:ascii="Palatino Linotype" w:hAnsi="Palatino Linotype"/>
          <w:sz w:val="22"/>
          <w:szCs w:val="22"/>
        </w:rPr>
      </w:pPr>
    </w:p>
    <w:p w14:paraId="384DDF1B" w14:textId="163E9C1E" w:rsidR="00D74B8A" w:rsidRPr="00D74B8A" w:rsidRDefault="0034164C" w:rsidP="00D74B8A">
      <w:pPr>
        <w:spacing w:line="360" w:lineRule="auto"/>
        <w:rPr>
          <w:rFonts w:ascii="Palatino Linotype" w:hAnsi="Palatino Linotype"/>
          <w:sz w:val="22"/>
          <w:szCs w:val="22"/>
        </w:rPr>
      </w:pPr>
      <w:r>
        <w:rPr>
          <w:rFonts w:ascii="Palatino Linotype" w:hAnsi="Palatino Linotype"/>
          <w:sz w:val="22"/>
          <w:szCs w:val="22"/>
        </w:rPr>
        <w:t xml:space="preserve">[3.4]  </w:t>
      </w:r>
      <w:r w:rsidR="00D74B8A" w:rsidRPr="00D74B8A">
        <w:rPr>
          <w:rFonts w:ascii="Palatino Linotype" w:hAnsi="Palatino Linotype"/>
          <w:sz w:val="22"/>
          <w:szCs w:val="22"/>
        </w:rPr>
        <w:t xml:space="preserve">A pre-nuptial agreement is, like insurance, designed to be put in a drawer in the hope it is not required.  It may however be pulled out and dusted down 10, 20, 30 or more years </w:t>
      </w:r>
      <w:r w:rsidR="00D74B8A" w:rsidRPr="00D74B8A">
        <w:rPr>
          <w:rFonts w:ascii="Palatino Linotype" w:hAnsi="Palatino Linotype"/>
          <w:sz w:val="22"/>
          <w:szCs w:val="22"/>
        </w:rPr>
        <w:lastRenderedPageBreak/>
        <w:t xml:space="preserve">hence.  This does distinguish it from a separation agreement.  It raises issues of how closely it should follow the current law?  Should it be time limited and cease to apply after a particular period, or in particular circumstances? Are children taken into account? And how should the agreement be safeguarded? </w:t>
      </w:r>
    </w:p>
    <w:p w14:paraId="0DDCE44F" w14:textId="77777777" w:rsidR="00D74B8A" w:rsidRDefault="00D74B8A" w:rsidP="00D74B8A">
      <w:pPr>
        <w:spacing w:line="360" w:lineRule="auto"/>
        <w:rPr>
          <w:rFonts w:ascii="Palatino Linotype" w:hAnsi="Palatino Linotype"/>
          <w:b/>
          <w:sz w:val="22"/>
          <w:szCs w:val="22"/>
        </w:rPr>
      </w:pPr>
    </w:p>
    <w:p w14:paraId="051231A3" w14:textId="7AF7DB86" w:rsidR="0055765C" w:rsidRPr="00D74B8A" w:rsidRDefault="0034164C" w:rsidP="00D74B8A">
      <w:pPr>
        <w:spacing w:line="360" w:lineRule="auto"/>
        <w:rPr>
          <w:rFonts w:ascii="Palatino Linotype" w:hAnsi="Palatino Linotype"/>
          <w:b/>
          <w:sz w:val="22"/>
          <w:szCs w:val="22"/>
        </w:rPr>
      </w:pPr>
      <w:r>
        <w:rPr>
          <w:rFonts w:ascii="Palatino Linotype" w:hAnsi="Palatino Linotype"/>
          <w:b/>
          <w:sz w:val="22"/>
          <w:szCs w:val="22"/>
        </w:rPr>
        <w:t xml:space="preserve">[4]  </w:t>
      </w:r>
      <w:r w:rsidR="0055765C" w:rsidRPr="00D74B8A">
        <w:rPr>
          <w:rFonts w:ascii="Palatino Linotype" w:hAnsi="Palatino Linotype"/>
          <w:b/>
          <w:sz w:val="22"/>
          <w:szCs w:val="22"/>
        </w:rPr>
        <w:t>The criteria of fairness and reasonableness</w:t>
      </w:r>
    </w:p>
    <w:p w14:paraId="7DEE7260" w14:textId="11AD9F77" w:rsidR="008D0C0A" w:rsidRPr="00D74B8A" w:rsidRDefault="0034164C" w:rsidP="00D74B8A">
      <w:pPr>
        <w:spacing w:line="360" w:lineRule="auto"/>
        <w:rPr>
          <w:rFonts w:ascii="Palatino Linotype" w:hAnsi="Palatino Linotype"/>
          <w:sz w:val="22"/>
          <w:szCs w:val="22"/>
        </w:rPr>
      </w:pPr>
      <w:r>
        <w:rPr>
          <w:rFonts w:ascii="Palatino Linotype" w:hAnsi="Palatino Linotype"/>
          <w:sz w:val="22"/>
          <w:szCs w:val="22"/>
        </w:rPr>
        <w:t xml:space="preserve">[4.1]  </w:t>
      </w:r>
      <w:r w:rsidR="00AE180B" w:rsidRPr="00D74B8A">
        <w:rPr>
          <w:rFonts w:ascii="Palatino Linotype" w:hAnsi="Palatino Linotype"/>
          <w:sz w:val="22"/>
          <w:szCs w:val="22"/>
        </w:rPr>
        <w:t>If pre-nuptial agreements are going to be subject to the same considerations as other agreements on financial provision, then we can look at the section 16 case law generally, and see how pre-nuptial agreements measure up.</w:t>
      </w:r>
      <w:r w:rsidR="008D0C0A" w:rsidRPr="00D74B8A">
        <w:rPr>
          <w:rFonts w:ascii="Palatino Linotype" w:hAnsi="Palatino Linotype"/>
          <w:sz w:val="22"/>
          <w:szCs w:val="22"/>
        </w:rPr>
        <w:t xml:space="preserve">  The leading Court of Session authority is </w:t>
      </w:r>
      <w:r w:rsidR="008D0C0A" w:rsidRPr="00D74B8A">
        <w:rPr>
          <w:rFonts w:ascii="Palatino Linotype" w:hAnsi="Palatino Linotype"/>
          <w:i/>
          <w:sz w:val="22"/>
          <w:szCs w:val="22"/>
        </w:rPr>
        <w:t xml:space="preserve">Gillon v Gillon (No 3) </w:t>
      </w:r>
      <w:r w:rsidR="008D0C0A" w:rsidRPr="00D74B8A">
        <w:rPr>
          <w:rFonts w:ascii="Palatino Linotype" w:hAnsi="Palatino Linotype"/>
          <w:sz w:val="22"/>
          <w:szCs w:val="22"/>
        </w:rPr>
        <w:t>1995 SLT 678, where</w:t>
      </w:r>
      <w:r w:rsidR="00FC039E" w:rsidRPr="00D74B8A">
        <w:rPr>
          <w:rFonts w:ascii="Palatino Linotype" w:hAnsi="Palatino Linotype"/>
          <w:sz w:val="22"/>
          <w:szCs w:val="22"/>
        </w:rPr>
        <w:t xml:space="preserve"> the Outer House judge before whom the case finally landed,</w:t>
      </w:r>
      <w:r w:rsidR="008D0C0A" w:rsidRPr="00D74B8A">
        <w:rPr>
          <w:rFonts w:ascii="Palatino Linotype" w:hAnsi="Palatino Linotype"/>
          <w:sz w:val="22"/>
          <w:szCs w:val="22"/>
        </w:rPr>
        <w:t xml:space="preserve"> Lord Weir</w:t>
      </w:r>
      <w:r w:rsidR="00FC039E" w:rsidRPr="00D74B8A">
        <w:rPr>
          <w:rFonts w:ascii="Palatino Linotype" w:hAnsi="Palatino Linotype"/>
          <w:sz w:val="22"/>
          <w:szCs w:val="22"/>
        </w:rPr>
        <w:t>,</w:t>
      </w:r>
      <w:r w:rsidR="008D0C0A" w:rsidRPr="00D74B8A">
        <w:rPr>
          <w:rFonts w:ascii="Palatino Linotype" w:hAnsi="Palatino Linotype"/>
          <w:sz w:val="22"/>
          <w:szCs w:val="22"/>
        </w:rPr>
        <w:t xml:space="preserve"> set out a series of propositions in relation to exercise of the power to set aside agreements relating to financial provision.  He said</w:t>
      </w:r>
      <w:r w:rsidR="0055765C" w:rsidRPr="00D74B8A">
        <w:rPr>
          <w:rFonts w:ascii="Palatino Linotype" w:hAnsi="Palatino Linotype"/>
          <w:sz w:val="22"/>
          <w:szCs w:val="22"/>
        </w:rPr>
        <w:t>:</w:t>
      </w:r>
    </w:p>
    <w:p w14:paraId="3FA6D71E" w14:textId="4BCA6A0E" w:rsidR="008D0C0A" w:rsidRPr="00D74B8A" w:rsidRDefault="0055765C" w:rsidP="00D74B8A">
      <w:pPr>
        <w:spacing w:line="360" w:lineRule="auto"/>
        <w:ind w:left="450"/>
        <w:rPr>
          <w:rFonts w:ascii="Palatino Linotype" w:hAnsi="Palatino Linotype"/>
          <w:sz w:val="22"/>
          <w:szCs w:val="22"/>
        </w:rPr>
      </w:pPr>
      <w:r w:rsidRPr="00D74B8A">
        <w:rPr>
          <w:rFonts w:ascii="Palatino Linotype" w:hAnsi="Palatino Linotype"/>
          <w:sz w:val="22"/>
          <w:szCs w:val="22"/>
        </w:rPr>
        <w:t>“</w:t>
      </w:r>
      <w:r w:rsidR="008D0C0A" w:rsidRPr="00D74B8A">
        <w:rPr>
          <w:rFonts w:ascii="Palatino Linotype" w:hAnsi="Palatino Linotype"/>
          <w:sz w:val="22"/>
          <w:szCs w:val="22"/>
        </w:rPr>
        <w:t xml:space="preserve">(1) It is necessary to examine the agreement from the point of view of both fairness and reasonableness. </w:t>
      </w:r>
    </w:p>
    <w:p w14:paraId="7E9778AE" w14:textId="77777777" w:rsidR="008D0C0A" w:rsidRPr="00D74B8A" w:rsidRDefault="008D0C0A" w:rsidP="00D74B8A">
      <w:pPr>
        <w:spacing w:line="360" w:lineRule="auto"/>
        <w:ind w:left="450"/>
        <w:rPr>
          <w:rFonts w:ascii="Palatino Linotype" w:hAnsi="Palatino Linotype"/>
          <w:sz w:val="22"/>
          <w:szCs w:val="22"/>
        </w:rPr>
      </w:pPr>
      <w:r w:rsidRPr="00D74B8A">
        <w:rPr>
          <w:rFonts w:ascii="Palatino Linotype" w:hAnsi="Palatino Linotype"/>
          <w:sz w:val="22"/>
          <w:szCs w:val="22"/>
        </w:rPr>
        <w:t xml:space="preserve">(2) Such examination must relate to all the relevant circumstances leading up to and prevailing at the time of the execution of the agreement, including amongst other things the nature and quality of any legal advice given to either party. </w:t>
      </w:r>
    </w:p>
    <w:p w14:paraId="13FDA2CD" w14:textId="77777777" w:rsidR="008D0C0A" w:rsidRPr="00D74B8A" w:rsidRDefault="008D0C0A" w:rsidP="00D74B8A">
      <w:pPr>
        <w:spacing w:line="360" w:lineRule="auto"/>
        <w:ind w:left="450"/>
        <w:rPr>
          <w:rFonts w:ascii="Palatino Linotype" w:hAnsi="Palatino Linotype"/>
          <w:sz w:val="22"/>
          <w:szCs w:val="22"/>
        </w:rPr>
      </w:pPr>
      <w:r w:rsidRPr="00D74B8A">
        <w:rPr>
          <w:rFonts w:ascii="Palatino Linotype" w:hAnsi="Palatino Linotype"/>
          <w:sz w:val="22"/>
          <w:szCs w:val="22"/>
        </w:rPr>
        <w:t xml:space="preserve">(3) Evidence that some unfair advantage was taken by one party of the other by reason of circumstances prevailing at the time of negotiations may have a cogent bearing on the determination of the issue. </w:t>
      </w:r>
    </w:p>
    <w:p w14:paraId="6B3C5660" w14:textId="79DEAB46" w:rsidR="008D0C0A" w:rsidRPr="00D74B8A" w:rsidRDefault="008D0C0A" w:rsidP="00D74B8A">
      <w:pPr>
        <w:spacing w:line="360" w:lineRule="auto"/>
        <w:ind w:left="450"/>
        <w:rPr>
          <w:rFonts w:ascii="Palatino Linotype" w:hAnsi="Palatino Linotype"/>
          <w:sz w:val="22"/>
          <w:szCs w:val="22"/>
        </w:rPr>
      </w:pPr>
      <w:r w:rsidRPr="00D74B8A">
        <w:rPr>
          <w:rFonts w:ascii="Palatino Linotype" w:hAnsi="Palatino Linotype"/>
          <w:sz w:val="22"/>
          <w:szCs w:val="22"/>
        </w:rPr>
        <w:t>(4) The court should not be unduly ready to overturn agreements validly entered into. (5) The fact that it transpires that an agreement has led to an unequal and possibly a very unequal division of assets does not by itself necessarily give rise to any inference of unfairness and unreasonableness.</w:t>
      </w:r>
      <w:r w:rsidR="0055765C" w:rsidRPr="00D74B8A">
        <w:rPr>
          <w:rFonts w:ascii="Palatino Linotype" w:hAnsi="Palatino Linotype"/>
          <w:sz w:val="22"/>
          <w:szCs w:val="22"/>
        </w:rPr>
        <w:t>”</w:t>
      </w:r>
      <w:r w:rsidRPr="00D74B8A">
        <w:rPr>
          <w:rFonts w:ascii="Palatino Linotype" w:hAnsi="Palatino Linotype"/>
          <w:sz w:val="22"/>
          <w:szCs w:val="22"/>
        </w:rPr>
        <w:t xml:space="preserve"> </w:t>
      </w:r>
    </w:p>
    <w:p w14:paraId="55D7E264" w14:textId="77777777" w:rsidR="00FB1E1C" w:rsidRPr="00D74B8A" w:rsidRDefault="00FB1E1C" w:rsidP="00D74B8A">
      <w:pPr>
        <w:spacing w:line="360" w:lineRule="auto"/>
        <w:rPr>
          <w:rFonts w:ascii="Palatino Linotype" w:hAnsi="Palatino Linotype"/>
          <w:sz w:val="22"/>
          <w:szCs w:val="22"/>
        </w:rPr>
      </w:pPr>
    </w:p>
    <w:p w14:paraId="6E5D94B0" w14:textId="4CCB4E67" w:rsidR="0055765C" w:rsidRPr="00D74B8A" w:rsidRDefault="0034164C" w:rsidP="00D74B8A">
      <w:pPr>
        <w:spacing w:line="360" w:lineRule="auto"/>
        <w:rPr>
          <w:rFonts w:ascii="Palatino Linotype" w:hAnsi="Palatino Linotype"/>
          <w:sz w:val="22"/>
          <w:szCs w:val="22"/>
        </w:rPr>
      </w:pPr>
      <w:r>
        <w:rPr>
          <w:rFonts w:ascii="Palatino Linotype" w:hAnsi="Palatino Linotype"/>
          <w:sz w:val="22"/>
          <w:szCs w:val="22"/>
        </w:rPr>
        <w:t xml:space="preserve">[4.2]  </w:t>
      </w:r>
      <w:r w:rsidR="00630F31" w:rsidRPr="00D74B8A">
        <w:rPr>
          <w:rFonts w:ascii="Palatino Linotype" w:hAnsi="Palatino Linotype"/>
          <w:sz w:val="22"/>
          <w:szCs w:val="22"/>
        </w:rPr>
        <w:t>Is this analysis helpful?</w:t>
      </w:r>
      <w:r w:rsidR="0055765C" w:rsidRPr="00D74B8A">
        <w:rPr>
          <w:rFonts w:ascii="Palatino Linotype" w:hAnsi="Palatino Linotype"/>
          <w:sz w:val="22"/>
          <w:szCs w:val="22"/>
        </w:rPr>
        <w:t xml:space="preserve">  </w:t>
      </w:r>
      <w:r w:rsidR="006978A2" w:rsidRPr="00D74B8A">
        <w:rPr>
          <w:rFonts w:ascii="Palatino Linotype" w:hAnsi="Palatino Linotype"/>
          <w:sz w:val="22"/>
          <w:szCs w:val="22"/>
        </w:rPr>
        <w:t xml:space="preserve">The wife in </w:t>
      </w:r>
      <w:r w:rsidR="006978A2" w:rsidRPr="00D74B8A">
        <w:rPr>
          <w:rFonts w:ascii="Palatino Linotype" w:hAnsi="Palatino Linotype"/>
          <w:i/>
          <w:sz w:val="22"/>
          <w:szCs w:val="22"/>
        </w:rPr>
        <w:t xml:space="preserve">Gillon </w:t>
      </w:r>
      <w:r w:rsidR="006978A2" w:rsidRPr="00D74B8A">
        <w:rPr>
          <w:rFonts w:ascii="Palatino Linotype" w:hAnsi="Palatino Linotype"/>
          <w:sz w:val="22"/>
          <w:szCs w:val="22"/>
        </w:rPr>
        <w:t>had</w:t>
      </w:r>
      <w:r w:rsidR="00343F94" w:rsidRPr="00D74B8A">
        <w:rPr>
          <w:rFonts w:ascii="Palatino Linotype" w:hAnsi="Palatino Linotype"/>
          <w:sz w:val="22"/>
          <w:szCs w:val="22"/>
        </w:rPr>
        <w:t xml:space="preserve"> accepted no aliment and</w:t>
      </w:r>
      <w:r w:rsidR="006978A2" w:rsidRPr="00D74B8A">
        <w:rPr>
          <w:rFonts w:ascii="Palatino Linotype" w:hAnsi="Palatino Linotype"/>
          <w:sz w:val="22"/>
          <w:szCs w:val="22"/>
        </w:rPr>
        <w:t xml:space="preserve"> given up </w:t>
      </w:r>
      <w:r w:rsidR="00343F94" w:rsidRPr="00D74B8A">
        <w:rPr>
          <w:rFonts w:ascii="Palatino Linotype" w:hAnsi="Palatino Linotype"/>
          <w:sz w:val="22"/>
          <w:szCs w:val="22"/>
        </w:rPr>
        <w:t>her claim to the husband’s assets, including his pension, but in return had obtained the right to purchase the husband’s interest in the matrimonial home at an advantageous price.  She had not had the husband’s pension valued</w:t>
      </w:r>
      <w:r w:rsidR="00F84AA0" w:rsidRPr="00D74B8A">
        <w:rPr>
          <w:rFonts w:ascii="Palatino Linotype" w:hAnsi="Palatino Linotype"/>
          <w:sz w:val="22"/>
          <w:szCs w:val="22"/>
        </w:rPr>
        <w:t xml:space="preserve"> before she surrendered her claim</w:t>
      </w:r>
      <w:r w:rsidR="00343F94" w:rsidRPr="00D74B8A">
        <w:rPr>
          <w:rFonts w:ascii="Palatino Linotype" w:hAnsi="Palatino Linotype"/>
          <w:sz w:val="22"/>
          <w:szCs w:val="22"/>
        </w:rPr>
        <w:t xml:space="preserve">. </w:t>
      </w:r>
      <w:r w:rsidR="00F84AA0" w:rsidRPr="00D74B8A">
        <w:rPr>
          <w:rFonts w:ascii="Palatino Linotype" w:hAnsi="Palatino Linotype"/>
          <w:sz w:val="22"/>
          <w:szCs w:val="22"/>
        </w:rPr>
        <w:t xml:space="preserve">She did not have the outcome she would have secured had she gone on to claim financial provision under the </w:t>
      </w:r>
      <w:r w:rsidR="00F84AA0" w:rsidRPr="00D74B8A">
        <w:rPr>
          <w:rFonts w:ascii="Palatino Linotype" w:hAnsi="Palatino Linotype"/>
          <w:sz w:val="22"/>
          <w:szCs w:val="22"/>
        </w:rPr>
        <w:lastRenderedPageBreak/>
        <w:t>Family Law (Scotland) Act 1985, but she had secured what she had wanted to achieve, namely the house and the benefit of certainty.  Lord Weir refused to set aside the agreement.</w:t>
      </w:r>
    </w:p>
    <w:p w14:paraId="30111786" w14:textId="77777777" w:rsidR="00F84AA0" w:rsidRPr="00D74B8A" w:rsidRDefault="00F84AA0" w:rsidP="00D74B8A">
      <w:pPr>
        <w:spacing w:line="360" w:lineRule="auto"/>
        <w:rPr>
          <w:rFonts w:ascii="Palatino Linotype" w:hAnsi="Palatino Linotype"/>
          <w:sz w:val="22"/>
          <w:szCs w:val="22"/>
        </w:rPr>
      </w:pPr>
    </w:p>
    <w:p w14:paraId="171E124F" w14:textId="054C7ED8" w:rsidR="0055765C" w:rsidRPr="00D74B8A" w:rsidRDefault="0034164C" w:rsidP="00D74B8A">
      <w:pPr>
        <w:spacing w:line="360" w:lineRule="auto"/>
        <w:rPr>
          <w:rFonts w:ascii="Palatino Linotype" w:hAnsi="Palatino Linotype"/>
          <w:sz w:val="22"/>
          <w:szCs w:val="22"/>
        </w:rPr>
      </w:pPr>
      <w:r>
        <w:rPr>
          <w:rFonts w:ascii="Palatino Linotype" w:hAnsi="Palatino Linotype"/>
          <w:sz w:val="22"/>
          <w:szCs w:val="22"/>
        </w:rPr>
        <w:t xml:space="preserve">[4.3]  </w:t>
      </w:r>
      <w:r w:rsidR="0055765C" w:rsidRPr="00D74B8A">
        <w:rPr>
          <w:rFonts w:ascii="Palatino Linotype" w:hAnsi="Palatino Linotype"/>
          <w:sz w:val="22"/>
          <w:szCs w:val="22"/>
        </w:rPr>
        <w:t>T</w:t>
      </w:r>
      <w:r w:rsidR="00F84AA0" w:rsidRPr="00D74B8A">
        <w:rPr>
          <w:rFonts w:ascii="Palatino Linotype" w:hAnsi="Palatino Linotype"/>
          <w:sz w:val="22"/>
          <w:szCs w:val="22"/>
        </w:rPr>
        <w:t xml:space="preserve">hese considerations are echoed in a very recent decision of the Sheriff Appeal Court in </w:t>
      </w:r>
      <w:r w:rsidR="0055765C" w:rsidRPr="00D74B8A">
        <w:rPr>
          <w:rFonts w:ascii="Palatino Linotype" w:hAnsi="Palatino Linotype"/>
          <w:i/>
          <w:sz w:val="22"/>
          <w:szCs w:val="22"/>
        </w:rPr>
        <w:t xml:space="preserve">Bradley v Bradley </w:t>
      </w:r>
      <w:r w:rsidR="00F84AA0" w:rsidRPr="00D74B8A">
        <w:rPr>
          <w:rFonts w:ascii="Palatino Linotype" w:hAnsi="Palatino Linotype"/>
          <w:sz w:val="22"/>
          <w:szCs w:val="22"/>
        </w:rPr>
        <w:t>([2017] SAC (Civ) 29, issued on 21 September 2017.</w:t>
      </w:r>
      <w:r w:rsidR="0055765C" w:rsidRPr="00D74B8A">
        <w:rPr>
          <w:rFonts w:ascii="Palatino Linotype" w:hAnsi="Palatino Linotype"/>
          <w:sz w:val="22"/>
          <w:szCs w:val="22"/>
        </w:rPr>
        <w:t xml:space="preserve">  </w:t>
      </w:r>
      <w:r w:rsidR="00F84AA0" w:rsidRPr="00D74B8A">
        <w:rPr>
          <w:rFonts w:ascii="Palatino Linotype" w:hAnsi="Palatino Linotype"/>
          <w:sz w:val="22"/>
          <w:szCs w:val="22"/>
        </w:rPr>
        <w:t xml:space="preserve">The appeal sheriffs were unimpressed by a submission based on the “ethos” of the Family Law (Scotland) Act 1985 </w:t>
      </w:r>
      <w:r w:rsidR="00A2735B">
        <w:rPr>
          <w:rFonts w:ascii="Palatino Linotype" w:hAnsi="Palatino Linotype"/>
          <w:sz w:val="22"/>
          <w:szCs w:val="22"/>
        </w:rPr>
        <w:t xml:space="preserve">in favour of a clean break </w:t>
      </w:r>
      <w:r w:rsidR="00F84AA0" w:rsidRPr="00D74B8A">
        <w:rPr>
          <w:rFonts w:ascii="Palatino Linotype" w:hAnsi="Palatino Linotype"/>
          <w:sz w:val="22"/>
          <w:szCs w:val="22"/>
        </w:rPr>
        <w:t>and keen to stress that the ethos also included encouraging parties to settle their differences by agreement.  The husband in that case was protesting about an agreement to pay half his monthly pension income to the wife until the death of one of them.  He had not wanted to hand over a lump sum to her and he had wanted to buy a house.  The wife had kept the matrimonial home, but had raised a loan of £120,000 to pay a capital sum to him, which allowed him to buy the house</w:t>
      </w:r>
      <w:r w:rsidR="0053256F">
        <w:rPr>
          <w:rFonts w:ascii="Palatino Linotype" w:hAnsi="Palatino Linotype"/>
          <w:sz w:val="22"/>
          <w:szCs w:val="22"/>
        </w:rPr>
        <w:t xml:space="preserve"> he wanted</w:t>
      </w:r>
      <w:r w:rsidR="00DB552D" w:rsidRPr="00D74B8A">
        <w:rPr>
          <w:rFonts w:ascii="Palatino Linotype" w:hAnsi="Palatino Linotype"/>
          <w:sz w:val="22"/>
          <w:szCs w:val="22"/>
        </w:rPr>
        <w:t xml:space="preserve">.  The sheriff had been </w:t>
      </w:r>
      <w:r w:rsidR="00F84AA0" w:rsidRPr="00D74B8A">
        <w:rPr>
          <w:rFonts w:ascii="Palatino Linotype" w:hAnsi="Palatino Linotype"/>
          <w:sz w:val="22"/>
          <w:szCs w:val="22"/>
        </w:rPr>
        <w:t xml:space="preserve">swayed by the </w:t>
      </w:r>
      <w:r w:rsidR="00DB552D" w:rsidRPr="00D74B8A">
        <w:rPr>
          <w:rFonts w:ascii="Palatino Linotype" w:hAnsi="Palatino Linotype"/>
          <w:sz w:val="22"/>
          <w:szCs w:val="22"/>
        </w:rPr>
        <w:t>sole factor</w:t>
      </w:r>
      <w:r w:rsidR="00F84AA0" w:rsidRPr="00D74B8A">
        <w:rPr>
          <w:rFonts w:ascii="Palatino Linotype" w:hAnsi="Palatino Linotype"/>
          <w:sz w:val="22"/>
          <w:szCs w:val="22"/>
        </w:rPr>
        <w:t xml:space="preserve"> of lack of legal advice to the husband in relation to periodical allowances under the Family Law (Scotland) Act 1985.  She set aside the monthly payment, imposing in its place a different arrangement involving a pension-sharing order.  The Sheriff Appeal Court allowed the wife’s appeal.</w:t>
      </w:r>
      <w:r w:rsidR="00DB552D" w:rsidRPr="00D74B8A">
        <w:rPr>
          <w:rFonts w:ascii="Palatino Linotype" w:hAnsi="Palatino Linotype"/>
          <w:sz w:val="22"/>
          <w:szCs w:val="22"/>
        </w:rPr>
        <w:t xml:space="preserve">  The husband had got what he wanted and could not now complain.  </w:t>
      </w:r>
      <w:r w:rsidR="0055765C" w:rsidRPr="00D74B8A">
        <w:rPr>
          <w:rFonts w:ascii="Palatino Linotype" w:hAnsi="Palatino Linotype"/>
          <w:sz w:val="22"/>
          <w:szCs w:val="22"/>
        </w:rPr>
        <w:t>Appeal Sheriff Ross</w:t>
      </w:r>
      <w:r w:rsidR="00F12126" w:rsidRPr="00D74B8A">
        <w:rPr>
          <w:rFonts w:ascii="Palatino Linotype" w:hAnsi="Palatino Linotype"/>
          <w:sz w:val="22"/>
          <w:szCs w:val="22"/>
        </w:rPr>
        <w:t xml:space="preserve"> </w:t>
      </w:r>
      <w:r w:rsidR="00DB552D" w:rsidRPr="00D74B8A">
        <w:rPr>
          <w:rFonts w:ascii="Palatino Linotype" w:hAnsi="Palatino Linotype"/>
          <w:sz w:val="22"/>
          <w:szCs w:val="22"/>
        </w:rPr>
        <w:t xml:space="preserve">set out that </w:t>
      </w:r>
      <w:r w:rsidR="00F12126" w:rsidRPr="00D74B8A">
        <w:rPr>
          <w:rFonts w:ascii="Palatino Linotype" w:hAnsi="Palatino Linotype"/>
          <w:sz w:val="22"/>
          <w:szCs w:val="22"/>
        </w:rPr>
        <w:t>what amounted to unfairness or unreasonableness in any case depended on the facts and circumstances.  He made the useful comment that it would rarely be sufficient to focus on a single aspect</w:t>
      </w:r>
      <w:r w:rsidR="002128BD" w:rsidRPr="00D74B8A">
        <w:rPr>
          <w:rFonts w:ascii="Palatino Linotype" w:hAnsi="Palatino Linotype"/>
          <w:sz w:val="22"/>
          <w:szCs w:val="22"/>
        </w:rPr>
        <w:t xml:space="preserve">.  </w:t>
      </w:r>
    </w:p>
    <w:p w14:paraId="7E92ED5D" w14:textId="77777777" w:rsidR="0049616E" w:rsidRPr="00D74B8A" w:rsidRDefault="0049616E" w:rsidP="00D74B8A">
      <w:pPr>
        <w:spacing w:line="360" w:lineRule="auto"/>
        <w:rPr>
          <w:rFonts w:ascii="Palatino Linotype" w:hAnsi="Palatino Linotype"/>
          <w:sz w:val="22"/>
          <w:szCs w:val="22"/>
        </w:rPr>
      </w:pPr>
    </w:p>
    <w:p w14:paraId="136E30FD" w14:textId="3749B36B" w:rsidR="00DB552D" w:rsidRPr="00D74B8A" w:rsidRDefault="0034164C" w:rsidP="00D74B8A">
      <w:pPr>
        <w:spacing w:line="360" w:lineRule="auto"/>
        <w:rPr>
          <w:rFonts w:ascii="Palatino Linotype" w:hAnsi="Palatino Linotype"/>
          <w:sz w:val="22"/>
          <w:szCs w:val="22"/>
        </w:rPr>
      </w:pPr>
      <w:r>
        <w:rPr>
          <w:rFonts w:ascii="Palatino Linotype" w:hAnsi="Palatino Linotype"/>
          <w:sz w:val="22"/>
          <w:szCs w:val="22"/>
        </w:rPr>
        <w:t xml:space="preserve">[4.4]  </w:t>
      </w:r>
      <w:r w:rsidR="0049616E" w:rsidRPr="00D74B8A">
        <w:rPr>
          <w:rFonts w:ascii="Palatino Linotype" w:hAnsi="Palatino Linotype"/>
          <w:sz w:val="22"/>
          <w:szCs w:val="22"/>
        </w:rPr>
        <w:t xml:space="preserve">There is therefore no “magic bullet” to attack an agreement.  It all depends on the facts.  </w:t>
      </w:r>
      <w:r w:rsidR="00DB552D" w:rsidRPr="00D74B8A">
        <w:rPr>
          <w:rFonts w:ascii="Palatino Linotype" w:hAnsi="Palatino Linotype"/>
          <w:sz w:val="22"/>
          <w:szCs w:val="22"/>
        </w:rPr>
        <w:t>This is all very well but it does not assist much in dealing with the exercise of assessment of risk.  The best we can do is point to the sort of factors that are capable of influencing the court one way or the other.</w:t>
      </w:r>
      <w:r w:rsidR="00902A05" w:rsidRPr="00D74B8A">
        <w:rPr>
          <w:rFonts w:ascii="Palatino Linotype" w:hAnsi="Palatino Linotype"/>
          <w:sz w:val="22"/>
          <w:szCs w:val="22"/>
        </w:rPr>
        <w:t xml:space="preserve">  </w:t>
      </w:r>
    </w:p>
    <w:p w14:paraId="6B055D88" w14:textId="77777777" w:rsidR="00DB552D" w:rsidRPr="00D74B8A" w:rsidRDefault="00DB552D" w:rsidP="00D74B8A">
      <w:pPr>
        <w:spacing w:line="360" w:lineRule="auto"/>
        <w:rPr>
          <w:rFonts w:ascii="Palatino Linotype" w:hAnsi="Palatino Linotype"/>
          <w:sz w:val="22"/>
          <w:szCs w:val="22"/>
        </w:rPr>
      </w:pPr>
    </w:p>
    <w:p w14:paraId="3001011A" w14:textId="2174F194" w:rsidR="005839EF" w:rsidRPr="00D74B8A" w:rsidRDefault="0034164C" w:rsidP="00D74B8A">
      <w:pPr>
        <w:spacing w:line="360" w:lineRule="auto"/>
        <w:rPr>
          <w:rFonts w:ascii="Palatino Linotype" w:hAnsi="Palatino Linotype"/>
          <w:b/>
          <w:sz w:val="22"/>
          <w:szCs w:val="22"/>
        </w:rPr>
      </w:pPr>
      <w:r>
        <w:rPr>
          <w:rFonts w:ascii="Palatino Linotype" w:hAnsi="Palatino Linotype"/>
          <w:b/>
          <w:sz w:val="22"/>
          <w:szCs w:val="22"/>
        </w:rPr>
        <w:t xml:space="preserve">[5]  </w:t>
      </w:r>
      <w:r w:rsidR="00902A05" w:rsidRPr="00D74B8A">
        <w:rPr>
          <w:rFonts w:ascii="Palatino Linotype" w:hAnsi="Palatino Linotype"/>
          <w:b/>
          <w:sz w:val="22"/>
          <w:szCs w:val="22"/>
        </w:rPr>
        <w:t xml:space="preserve">The starting point -  </w:t>
      </w:r>
      <w:r w:rsidR="005839EF" w:rsidRPr="00D74B8A">
        <w:rPr>
          <w:rFonts w:ascii="Palatino Linotype" w:hAnsi="Palatino Linotype"/>
          <w:b/>
          <w:sz w:val="22"/>
          <w:szCs w:val="22"/>
        </w:rPr>
        <w:t>What is the agreement designed to protect?</w:t>
      </w:r>
    </w:p>
    <w:p w14:paraId="5368E948" w14:textId="1E648F36" w:rsidR="00F05A9A" w:rsidRPr="00D74B8A" w:rsidRDefault="0034164C" w:rsidP="00D74B8A">
      <w:pPr>
        <w:spacing w:line="360" w:lineRule="auto"/>
        <w:rPr>
          <w:rFonts w:ascii="Palatino Linotype" w:hAnsi="Palatino Linotype"/>
          <w:sz w:val="22"/>
          <w:szCs w:val="22"/>
        </w:rPr>
      </w:pPr>
      <w:r>
        <w:rPr>
          <w:rFonts w:ascii="Palatino Linotype" w:hAnsi="Palatino Linotype"/>
          <w:sz w:val="22"/>
          <w:szCs w:val="22"/>
        </w:rPr>
        <w:t xml:space="preserve">[5.1]  </w:t>
      </w:r>
      <w:r w:rsidR="00902A05" w:rsidRPr="00D74B8A">
        <w:rPr>
          <w:rFonts w:ascii="Palatino Linotype" w:hAnsi="Palatino Linotype"/>
          <w:sz w:val="22"/>
          <w:szCs w:val="22"/>
        </w:rPr>
        <w:t>Anxiety about section 16 can divert attention from the most important issue, namely what is the pre-nuptial agreement designed to protect? T</w:t>
      </w:r>
      <w:r w:rsidR="002D7454" w:rsidRPr="00D74B8A">
        <w:rPr>
          <w:rFonts w:ascii="Palatino Linotype" w:hAnsi="Palatino Linotype"/>
          <w:sz w:val="22"/>
          <w:szCs w:val="22"/>
        </w:rPr>
        <w:t xml:space="preserve">he first question to ask in drafting, or </w:t>
      </w:r>
      <w:r w:rsidR="00902A05" w:rsidRPr="00D74B8A">
        <w:rPr>
          <w:rFonts w:ascii="Palatino Linotype" w:hAnsi="Palatino Linotype"/>
          <w:sz w:val="22"/>
          <w:szCs w:val="22"/>
        </w:rPr>
        <w:t>advising on</w:t>
      </w:r>
      <w:r w:rsidR="002D7454" w:rsidRPr="00D74B8A">
        <w:rPr>
          <w:rFonts w:ascii="Palatino Linotype" w:hAnsi="Palatino Linotype"/>
          <w:sz w:val="22"/>
          <w:szCs w:val="22"/>
        </w:rPr>
        <w:t xml:space="preserve"> such an agreement is, “</w:t>
      </w:r>
      <w:r w:rsidR="005839EF" w:rsidRPr="00D74B8A">
        <w:rPr>
          <w:rFonts w:ascii="Palatino Linotype" w:hAnsi="Palatino Linotype"/>
          <w:sz w:val="22"/>
          <w:szCs w:val="22"/>
        </w:rPr>
        <w:t>What is the loss, or ‘bad thing’ that is feared?</w:t>
      </w:r>
      <w:r w:rsidR="002D7454" w:rsidRPr="00D74B8A">
        <w:rPr>
          <w:rFonts w:ascii="Palatino Linotype" w:hAnsi="Palatino Linotype"/>
          <w:sz w:val="22"/>
          <w:szCs w:val="22"/>
        </w:rPr>
        <w:t>”</w:t>
      </w:r>
      <w:r w:rsidR="0023709F" w:rsidRPr="00D74B8A">
        <w:rPr>
          <w:rFonts w:ascii="Palatino Linotype" w:hAnsi="Palatino Linotype"/>
          <w:sz w:val="22"/>
          <w:szCs w:val="22"/>
        </w:rPr>
        <w:t xml:space="preserve"> The task of the drafter should be focussed on the purpose of the agreement.  </w:t>
      </w:r>
      <w:r w:rsidR="002D7454" w:rsidRPr="00D74B8A">
        <w:rPr>
          <w:rFonts w:ascii="Palatino Linotype" w:hAnsi="Palatino Linotype"/>
          <w:sz w:val="22"/>
          <w:szCs w:val="22"/>
        </w:rPr>
        <w:t xml:space="preserve">If the purpose is clear and is inherently reasonable, then this represents a good starting point.  </w:t>
      </w:r>
      <w:r w:rsidR="00766CF4" w:rsidRPr="00D74B8A">
        <w:rPr>
          <w:rFonts w:ascii="Palatino Linotype" w:hAnsi="Palatino Linotype"/>
          <w:sz w:val="22"/>
          <w:szCs w:val="22"/>
        </w:rPr>
        <w:t xml:space="preserve">If a proposed, </w:t>
      </w:r>
      <w:r w:rsidR="00766CF4" w:rsidRPr="00D74B8A">
        <w:rPr>
          <w:rFonts w:ascii="Palatino Linotype" w:hAnsi="Palatino Linotype"/>
          <w:sz w:val="22"/>
          <w:szCs w:val="22"/>
        </w:rPr>
        <w:lastRenderedPageBreak/>
        <w:t xml:space="preserve">or challenged, agreement goes further than it needs to for its purpose, then that may be the first indicator that it </w:t>
      </w:r>
      <w:r w:rsidR="00611DCB" w:rsidRPr="00D74B8A">
        <w:rPr>
          <w:rFonts w:ascii="Palatino Linotype" w:hAnsi="Palatino Linotype"/>
          <w:sz w:val="22"/>
          <w:szCs w:val="22"/>
        </w:rPr>
        <w:t xml:space="preserve">is not fair or not reasonable.  </w:t>
      </w:r>
    </w:p>
    <w:p w14:paraId="408F8B95" w14:textId="77777777" w:rsidR="00F05A9A" w:rsidRPr="00D74B8A" w:rsidRDefault="00F05A9A" w:rsidP="00D74B8A">
      <w:pPr>
        <w:spacing w:line="360" w:lineRule="auto"/>
        <w:rPr>
          <w:rFonts w:ascii="Palatino Linotype" w:hAnsi="Palatino Linotype"/>
          <w:sz w:val="22"/>
          <w:szCs w:val="22"/>
        </w:rPr>
      </w:pPr>
    </w:p>
    <w:p w14:paraId="689AE0F8" w14:textId="12D6D94C" w:rsidR="002D7454" w:rsidRPr="00D74B8A" w:rsidRDefault="0034164C" w:rsidP="00D74B8A">
      <w:pPr>
        <w:spacing w:line="360" w:lineRule="auto"/>
        <w:rPr>
          <w:rFonts w:ascii="Palatino Linotype" w:hAnsi="Palatino Linotype"/>
          <w:sz w:val="22"/>
          <w:szCs w:val="22"/>
        </w:rPr>
      </w:pPr>
      <w:r>
        <w:rPr>
          <w:rFonts w:ascii="Palatino Linotype" w:hAnsi="Palatino Linotype"/>
          <w:sz w:val="22"/>
          <w:szCs w:val="22"/>
        </w:rPr>
        <w:t xml:space="preserve">[5.2]  </w:t>
      </w:r>
      <w:r w:rsidR="00F05A9A" w:rsidRPr="00D74B8A">
        <w:rPr>
          <w:rFonts w:ascii="Palatino Linotype" w:hAnsi="Palatino Linotype"/>
          <w:sz w:val="22"/>
          <w:szCs w:val="22"/>
        </w:rPr>
        <w:t xml:space="preserve">I must confess that this is not an argument that has featured in any judgment, but then it is an argument that is by its nature more likely to be relevant to pre-nuptial agreements than separation agreements, and we do not yet have a developed case law on pre-nuptial agreements.  </w:t>
      </w:r>
      <w:r w:rsidR="00AE180B" w:rsidRPr="00D74B8A">
        <w:rPr>
          <w:rFonts w:ascii="Palatino Linotype" w:hAnsi="Palatino Linotype"/>
          <w:sz w:val="22"/>
          <w:szCs w:val="22"/>
        </w:rPr>
        <w:t xml:space="preserve">It must however be good practice to start with a clear idea of what the agreement is designed to achieve. </w:t>
      </w:r>
      <w:r w:rsidR="00F05A9A" w:rsidRPr="00D74B8A">
        <w:rPr>
          <w:rFonts w:ascii="Palatino Linotype" w:hAnsi="Palatino Linotype"/>
          <w:sz w:val="22"/>
          <w:szCs w:val="22"/>
        </w:rPr>
        <w:t>And it must be a legitimate point to raise if advising the potential recipient of such an agreement, if the agreement goes further than it needs to do, to achieve the expressed objective.  And as an aside, drafting a heavy-handed agreement for a couple not yet married is not necessarily the most constructive contribution to their future happiness.</w:t>
      </w:r>
    </w:p>
    <w:p w14:paraId="036B469E" w14:textId="77777777" w:rsidR="002D7454" w:rsidRPr="00D74B8A" w:rsidRDefault="002D7454" w:rsidP="00D74B8A">
      <w:pPr>
        <w:spacing w:line="360" w:lineRule="auto"/>
        <w:rPr>
          <w:rFonts w:ascii="Palatino Linotype" w:hAnsi="Palatino Linotype"/>
          <w:sz w:val="22"/>
          <w:szCs w:val="22"/>
        </w:rPr>
      </w:pPr>
    </w:p>
    <w:p w14:paraId="21777494" w14:textId="575AE172" w:rsidR="006172CE" w:rsidRPr="00D74B8A" w:rsidRDefault="0034164C" w:rsidP="00D74B8A">
      <w:pPr>
        <w:spacing w:line="360" w:lineRule="auto"/>
        <w:rPr>
          <w:rFonts w:ascii="Palatino Linotype" w:hAnsi="Palatino Linotype"/>
          <w:sz w:val="22"/>
          <w:szCs w:val="22"/>
        </w:rPr>
      </w:pPr>
      <w:r>
        <w:rPr>
          <w:rFonts w:ascii="Palatino Linotype" w:hAnsi="Palatino Linotype"/>
          <w:sz w:val="22"/>
          <w:szCs w:val="22"/>
        </w:rPr>
        <w:t xml:space="preserve">[5.3]  </w:t>
      </w:r>
      <w:r w:rsidR="008126A1" w:rsidRPr="00D74B8A">
        <w:rPr>
          <w:rFonts w:ascii="Palatino Linotype" w:hAnsi="Palatino Linotype"/>
          <w:sz w:val="22"/>
          <w:szCs w:val="22"/>
        </w:rPr>
        <w:t>One of the most common issues is that one of the parties has an asset, is aware that there could be a change in form of that asset, and wishes to protect any resulting asset from sharing.  For example, a fisherman will know that his vessel will probably require to be renewed in the course of the marriage and wants to avoid the risk that the value of any new vessel could be shared with his wife.  Or a wife may have shares in a family company.  If she retained them they would not be matrimonial property, but were there to be a company reorganisation in the course of which she exchanged her shares for shares in a new holding company, the full value of the new shares could be exposed to sharing.  In consequence we are regularly asked to draft pre-nuptial agreements providing that if a particular asset owned on marriage is sold, and the proceeds are invested in a replacement, the value of that replacement will not be shared in the course of financial provision on divorce.  These sorts</w:t>
      </w:r>
      <w:r w:rsidR="002D7454" w:rsidRPr="00D74B8A">
        <w:rPr>
          <w:rFonts w:ascii="Palatino Linotype" w:hAnsi="Palatino Linotype"/>
          <w:sz w:val="22"/>
          <w:szCs w:val="22"/>
        </w:rPr>
        <w:t xml:space="preserve"> of agreements are in effect,</w:t>
      </w:r>
      <w:r w:rsidR="008126A1" w:rsidRPr="00D74B8A">
        <w:rPr>
          <w:rFonts w:ascii="Palatino Linotype" w:hAnsi="Palatino Linotype"/>
          <w:sz w:val="22"/>
          <w:szCs w:val="22"/>
        </w:rPr>
        <w:t xml:space="preserve"> agreement</w:t>
      </w:r>
      <w:r w:rsidR="002D7454" w:rsidRPr="00D74B8A">
        <w:rPr>
          <w:rFonts w:ascii="Palatino Linotype" w:hAnsi="Palatino Linotype"/>
          <w:sz w:val="22"/>
          <w:szCs w:val="22"/>
        </w:rPr>
        <w:t>s</w:t>
      </w:r>
      <w:r w:rsidR="008126A1" w:rsidRPr="00D74B8A">
        <w:rPr>
          <w:rFonts w:ascii="Palatino Linotype" w:hAnsi="Palatino Linotype"/>
          <w:sz w:val="22"/>
          <w:szCs w:val="22"/>
        </w:rPr>
        <w:t xml:space="preserve"> on “special circumstances”.  They provide conclusively for how it will be taken into account that property on divorce derives from property on marriage.  </w:t>
      </w:r>
    </w:p>
    <w:p w14:paraId="2B16C4D9" w14:textId="77777777" w:rsidR="006172CE" w:rsidRPr="00D74B8A" w:rsidRDefault="006172CE" w:rsidP="00D74B8A">
      <w:pPr>
        <w:spacing w:line="360" w:lineRule="auto"/>
        <w:rPr>
          <w:rFonts w:ascii="Palatino Linotype" w:hAnsi="Palatino Linotype"/>
          <w:sz w:val="22"/>
          <w:szCs w:val="22"/>
        </w:rPr>
      </w:pPr>
    </w:p>
    <w:p w14:paraId="31C5B712" w14:textId="5487AC07" w:rsidR="00F05A9A" w:rsidRPr="00D74B8A" w:rsidRDefault="0034164C" w:rsidP="00D74B8A">
      <w:pPr>
        <w:spacing w:line="360" w:lineRule="auto"/>
        <w:rPr>
          <w:rFonts w:ascii="Palatino Linotype" w:hAnsi="Palatino Linotype"/>
          <w:sz w:val="22"/>
          <w:szCs w:val="22"/>
        </w:rPr>
      </w:pPr>
      <w:r>
        <w:rPr>
          <w:rFonts w:ascii="Palatino Linotype" w:hAnsi="Palatino Linotype"/>
          <w:sz w:val="22"/>
          <w:szCs w:val="22"/>
        </w:rPr>
        <w:t xml:space="preserve">[5.4]  </w:t>
      </w:r>
      <w:r w:rsidR="006172CE" w:rsidRPr="00D74B8A">
        <w:rPr>
          <w:rFonts w:ascii="Palatino Linotype" w:hAnsi="Palatino Linotype"/>
          <w:sz w:val="22"/>
          <w:szCs w:val="22"/>
        </w:rPr>
        <w:t>Pre-nuptial agreements</w:t>
      </w:r>
      <w:r w:rsidR="001A06A5" w:rsidRPr="00D74B8A">
        <w:rPr>
          <w:rFonts w:ascii="Palatino Linotype" w:hAnsi="Palatino Linotype"/>
          <w:sz w:val="22"/>
          <w:szCs w:val="22"/>
        </w:rPr>
        <w:t xml:space="preserve"> are often motivated by a desire to protect others who may be affected were there a requirement </w:t>
      </w:r>
      <w:r w:rsidR="00CA7CB7" w:rsidRPr="00D74B8A">
        <w:rPr>
          <w:rFonts w:ascii="Palatino Linotype" w:hAnsi="Palatino Linotype"/>
          <w:sz w:val="22"/>
          <w:szCs w:val="22"/>
        </w:rPr>
        <w:t xml:space="preserve">to share the value of the property. </w:t>
      </w:r>
      <w:r w:rsidR="006172CE" w:rsidRPr="00D74B8A">
        <w:rPr>
          <w:rFonts w:ascii="Palatino Linotype" w:hAnsi="Palatino Linotype"/>
          <w:sz w:val="22"/>
          <w:szCs w:val="22"/>
        </w:rPr>
        <w:t xml:space="preserve">It may be a concern about breaking up a commercial or agricultural enterprise if there is a future marital </w:t>
      </w:r>
      <w:r w:rsidR="006172CE" w:rsidRPr="00D74B8A">
        <w:rPr>
          <w:rFonts w:ascii="Palatino Linotype" w:hAnsi="Palatino Linotype"/>
          <w:sz w:val="22"/>
          <w:szCs w:val="22"/>
        </w:rPr>
        <w:lastRenderedPageBreak/>
        <w:t xml:space="preserve">breakdown.  </w:t>
      </w:r>
      <w:r w:rsidR="00F05A9A" w:rsidRPr="00D74B8A">
        <w:rPr>
          <w:rFonts w:ascii="Palatino Linotype" w:hAnsi="Palatino Linotype"/>
          <w:sz w:val="22"/>
          <w:szCs w:val="22"/>
        </w:rPr>
        <w:t xml:space="preserve">There are cases where a couple marry later in life and want to ring fence property for their children from earlier relationships.  </w:t>
      </w:r>
      <w:r w:rsidR="006172CE" w:rsidRPr="00D74B8A">
        <w:rPr>
          <w:rFonts w:ascii="Palatino Linotype" w:hAnsi="Palatino Linotype"/>
          <w:sz w:val="22"/>
          <w:szCs w:val="22"/>
        </w:rPr>
        <w:t xml:space="preserve">Agreements of this kind should be relatively easy to justify and if necessary to defend.  </w:t>
      </w:r>
    </w:p>
    <w:p w14:paraId="4FC4D53E" w14:textId="77777777" w:rsidR="00F05A9A" w:rsidRPr="00D74B8A" w:rsidRDefault="00F05A9A" w:rsidP="00D74B8A">
      <w:pPr>
        <w:spacing w:line="360" w:lineRule="auto"/>
        <w:rPr>
          <w:rFonts w:ascii="Palatino Linotype" w:hAnsi="Palatino Linotype"/>
          <w:sz w:val="22"/>
          <w:szCs w:val="22"/>
        </w:rPr>
      </w:pPr>
    </w:p>
    <w:p w14:paraId="3B5ACF42" w14:textId="6BA9C0BB" w:rsidR="00086D8C" w:rsidRPr="00D74B8A" w:rsidRDefault="0034164C" w:rsidP="00D74B8A">
      <w:pPr>
        <w:spacing w:line="360" w:lineRule="auto"/>
        <w:rPr>
          <w:rFonts w:ascii="Palatino Linotype" w:hAnsi="Palatino Linotype"/>
          <w:sz w:val="22"/>
          <w:szCs w:val="22"/>
        </w:rPr>
      </w:pPr>
      <w:r>
        <w:rPr>
          <w:rFonts w:ascii="Palatino Linotype" w:hAnsi="Palatino Linotype"/>
          <w:sz w:val="22"/>
          <w:szCs w:val="22"/>
        </w:rPr>
        <w:t xml:space="preserve">[5.5]  </w:t>
      </w:r>
      <w:r w:rsidR="00A2735B">
        <w:rPr>
          <w:rFonts w:ascii="Palatino Linotype" w:hAnsi="Palatino Linotype"/>
          <w:sz w:val="22"/>
          <w:szCs w:val="22"/>
        </w:rPr>
        <w:t>In contrast</w:t>
      </w:r>
      <w:r w:rsidR="00086D8C" w:rsidRPr="00D74B8A">
        <w:rPr>
          <w:rFonts w:ascii="Palatino Linotype" w:hAnsi="Palatino Linotype"/>
          <w:sz w:val="22"/>
          <w:szCs w:val="22"/>
        </w:rPr>
        <w:t xml:space="preserve"> a total renunciation and discharge of financial provision may </w:t>
      </w:r>
      <w:r w:rsidR="00177A9B" w:rsidRPr="00D74B8A">
        <w:rPr>
          <w:rFonts w:ascii="Palatino Linotype" w:hAnsi="Palatino Linotype"/>
          <w:sz w:val="22"/>
          <w:szCs w:val="22"/>
        </w:rPr>
        <w:t xml:space="preserve">well </w:t>
      </w:r>
      <w:r w:rsidR="00086D8C" w:rsidRPr="00D74B8A">
        <w:rPr>
          <w:rFonts w:ascii="Palatino Linotype" w:hAnsi="Palatino Linotype"/>
          <w:sz w:val="22"/>
          <w:szCs w:val="22"/>
        </w:rPr>
        <w:t xml:space="preserve">go too far, in a case where one party may patently be left in a difficult financial provision. </w:t>
      </w:r>
      <w:r w:rsidR="00177A9B" w:rsidRPr="00D74B8A">
        <w:rPr>
          <w:rFonts w:ascii="Palatino Linotype" w:hAnsi="Palatino Linotype"/>
          <w:sz w:val="22"/>
          <w:szCs w:val="22"/>
        </w:rPr>
        <w:t xml:space="preserve">A </w:t>
      </w:r>
      <w:r w:rsidR="009077D4" w:rsidRPr="00D74B8A">
        <w:rPr>
          <w:rFonts w:ascii="Palatino Linotype" w:hAnsi="Palatino Linotype"/>
          <w:sz w:val="22"/>
          <w:szCs w:val="22"/>
        </w:rPr>
        <w:t xml:space="preserve">case where there must be </w:t>
      </w:r>
      <w:r w:rsidR="00A2735B">
        <w:rPr>
          <w:rFonts w:ascii="Palatino Linotype" w:hAnsi="Palatino Linotype"/>
          <w:sz w:val="22"/>
          <w:szCs w:val="22"/>
        </w:rPr>
        <w:t xml:space="preserve">particular </w:t>
      </w:r>
      <w:r w:rsidR="009077D4" w:rsidRPr="00D74B8A">
        <w:rPr>
          <w:rFonts w:ascii="Palatino Linotype" w:hAnsi="Palatino Linotype"/>
          <w:sz w:val="22"/>
          <w:szCs w:val="22"/>
        </w:rPr>
        <w:t>anxieties is the young girl who marries the son of a wealthy man, where the father insists on a pre-nuptial agreement, on the basis that he is not prepared to leave his wealth to the boy, if his new wife would participate on divorce.  The Family Law (Scotland) Act 1985 excludes inherited wealth from matrimonial property, but inherited wealth that changes form is available for sharing (subject to special circumstances) and inherited wealth may be a resource and as such available to satisfy an award, including an award under section 9(1)(b), (c), (d) and (e).  T</w:t>
      </w:r>
      <w:r w:rsidR="00177A9B" w:rsidRPr="00D74B8A">
        <w:rPr>
          <w:rFonts w:ascii="Palatino Linotype" w:hAnsi="Palatino Linotype"/>
          <w:sz w:val="22"/>
          <w:szCs w:val="22"/>
        </w:rPr>
        <w:t>his sort of case must raise</w:t>
      </w:r>
      <w:r w:rsidR="009077D4" w:rsidRPr="00D74B8A">
        <w:rPr>
          <w:rFonts w:ascii="Palatino Linotype" w:hAnsi="Palatino Linotype"/>
          <w:sz w:val="22"/>
          <w:szCs w:val="22"/>
        </w:rPr>
        <w:t xml:space="preserve"> doubts about initial fairness and reasonableness as between the intending spouses.</w:t>
      </w:r>
    </w:p>
    <w:p w14:paraId="2A21714B" w14:textId="77777777" w:rsidR="00086D8C" w:rsidRPr="00D74B8A" w:rsidRDefault="00086D8C" w:rsidP="00D74B8A">
      <w:pPr>
        <w:spacing w:line="360" w:lineRule="auto"/>
        <w:rPr>
          <w:rFonts w:ascii="Palatino Linotype" w:hAnsi="Palatino Linotype"/>
          <w:sz w:val="22"/>
          <w:szCs w:val="22"/>
        </w:rPr>
      </w:pPr>
    </w:p>
    <w:p w14:paraId="7CA35906" w14:textId="77147068" w:rsidR="00177A9B" w:rsidRPr="00D74B8A" w:rsidRDefault="0034164C" w:rsidP="00D74B8A">
      <w:pPr>
        <w:spacing w:line="360" w:lineRule="auto"/>
        <w:rPr>
          <w:rFonts w:ascii="Palatino Linotype" w:hAnsi="Palatino Linotype"/>
          <w:b/>
          <w:sz w:val="22"/>
          <w:szCs w:val="22"/>
        </w:rPr>
      </w:pPr>
      <w:r>
        <w:rPr>
          <w:rFonts w:ascii="Palatino Linotype" w:hAnsi="Palatino Linotype"/>
          <w:b/>
          <w:sz w:val="22"/>
          <w:szCs w:val="22"/>
        </w:rPr>
        <w:t xml:space="preserve">[6]  </w:t>
      </w:r>
      <w:r w:rsidR="00177A9B" w:rsidRPr="00D74B8A">
        <w:rPr>
          <w:rFonts w:ascii="Palatino Linotype" w:hAnsi="Palatino Linotype"/>
          <w:b/>
          <w:sz w:val="22"/>
          <w:szCs w:val="22"/>
        </w:rPr>
        <w:t>Offsetting risk</w:t>
      </w:r>
    </w:p>
    <w:p w14:paraId="5C4A6473" w14:textId="59FE3464" w:rsidR="00177A9B" w:rsidRPr="00D74B8A" w:rsidRDefault="0034164C" w:rsidP="00D74B8A">
      <w:pPr>
        <w:spacing w:line="360" w:lineRule="auto"/>
        <w:rPr>
          <w:rFonts w:ascii="Palatino Linotype" w:hAnsi="Palatino Linotype"/>
          <w:sz w:val="22"/>
          <w:szCs w:val="22"/>
        </w:rPr>
      </w:pPr>
      <w:r>
        <w:rPr>
          <w:rFonts w:ascii="Palatino Linotype" w:hAnsi="Palatino Linotype"/>
          <w:sz w:val="22"/>
          <w:szCs w:val="22"/>
        </w:rPr>
        <w:t xml:space="preserve">[6.1]  </w:t>
      </w:r>
      <w:r w:rsidR="00177A9B" w:rsidRPr="00D74B8A">
        <w:rPr>
          <w:rFonts w:ascii="Palatino Linotype" w:hAnsi="Palatino Linotype"/>
          <w:sz w:val="22"/>
          <w:szCs w:val="22"/>
        </w:rPr>
        <w:t xml:space="preserve">There are then factors that emerge from the case law that would tend to demonstrate that an agreement should </w:t>
      </w:r>
      <w:r w:rsidR="0053256F">
        <w:rPr>
          <w:rFonts w:ascii="Palatino Linotype" w:hAnsi="Palatino Linotype"/>
          <w:sz w:val="22"/>
          <w:szCs w:val="22"/>
        </w:rPr>
        <w:t xml:space="preserve">or should </w:t>
      </w:r>
      <w:r w:rsidR="00177A9B" w:rsidRPr="00D74B8A">
        <w:rPr>
          <w:rFonts w:ascii="Palatino Linotype" w:hAnsi="Palatino Linotype"/>
          <w:sz w:val="22"/>
          <w:szCs w:val="22"/>
        </w:rPr>
        <w:t xml:space="preserve">not be set aside.  The following </w:t>
      </w:r>
      <w:r w:rsidR="0053256F">
        <w:rPr>
          <w:rFonts w:ascii="Palatino Linotype" w:hAnsi="Palatino Linotype"/>
          <w:sz w:val="22"/>
          <w:szCs w:val="22"/>
        </w:rPr>
        <w:t xml:space="preserve">issues </w:t>
      </w:r>
      <w:r w:rsidR="00177A9B" w:rsidRPr="00D74B8A">
        <w:rPr>
          <w:rFonts w:ascii="Palatino Linotype" w:hAnsi="Palatino Linotype"/>
          <w:sz w:val="22"/>
          <w:szCs w:val="22"/>
        </w:rPr>
        <w:t>emerge from the case law, albeit this is case law relating to separation agreements</w:t>
      </w:r>
    </w:p>
    <w:p w14:paraId="2CFC74A2" w14:textId="77777777" w:rsidR="00177A9B" w:rsidRPr="00D74B8A" w:rsidRDefault="00177A9B" w:rsidP="00D74B8A">
      <w:pPr>
        <w:spacing w:line="360" w:lineRule="auto"/>
        <w:rPr>
          <w:rFonts w:ascii="Palatino Linotype" w:hAnsi="Palatino Linotype"/>
          <w:b/>
          <w:sz w:val="22"/>
          <w:szCs w:val="22"/>
        </w:rPr>
      </w:pPr>
    </w:p>
    <w:p w14:paraId="14943761" w14:textId="66295066" w:rsidR="00A61B0E" w:rsidRPr="00D74B8A" w:rsidRDefault="0034164C" w:rsidP="00D74B8A">
      <w:pPr>
        <w:spacing w:line="360" w:lineRule="auto"/>
        <w:rPr>
          <w:rFonts w:ascii="Palatino Linotype" w:hAnsi="Palatino Linotype"/>
          <w:i/>
          <w:sz w:val="22"/>
          <w:szCs w:val="22"/>
        </w:rPr>
      </w:pPr>
      <w:r>
        <w:rPr>
          <w:rFonts w:ascii="Palatino Linotype" w:hAnsi="Palatino Linotype"/>
          <w:sz w:val="22"/>
          <w:szCs w:val="22"/>
        </w:rPr>
        <w:t xml:space="preserve">[6.2]  </w:t>
      </w:r>
      <w:r w:rsidR="00086D8C" w:rsidRPr="00D74B8A">
        <w:rPr>
          <w:rFonts w:ascii="Palatino Linotype" w:hAnsi="Palatino Linotype"/>
          <w:i/>
          <w:sz w:val="22"/>
          <w:szCs w:val="22"/>
        </w:rPr>
        <w:t xml:space="preserve">Is </w:t>
      </w:r>
      <w:r w:rsidR="00A61B0E" w:rsidRPr="00D74B8A">
        <w:rPr>
          <w:rFonts w:ascii="Palatino Linotype" w:hAnsi="Palatino Linotype"/>
          <w:i/>
          <w:sz w:val="22"/>
          <w:szCs w:val="22"/>
        </w:rPr>
        <w:t>there mutuality?</w:t>
      </w:r>
    </w:p>
    <w:p w14:paraId="710F7F57" w14:textId="55B8F266" w:rsidR="00177A9B" w:rsidRPr="00D74B8A" w:rsidRDefault="0034164C" w:rsidP="00D74B8A">
      <w:pPr>
        <w:spacing w:line="360" w:lineRule="auto"/>
        <w:rPr>
          <w:rFonts w:ascii="Palatino Linotype" w:hAnsi="Palatino Linotype"/>
          <w:sz w:val="22"/>
          <w:szCs w:val="22"/>
        </w:rPr>
      </w:pPr>
      <w:r>
        <w:rPr>
          <w:rFonts w:ascii="Palatino Linotype" w:hAnsi="Palatino Linotype"/>
          <w:sz w:val="22"/>
          <w:szCs w:val="22"/>
        </w:rPr>
        <w:t xml:space="preserve">[6.2.1]  </w:t>
      </w:r>
      <w:r w:rsidR="00177A9B" w:rsidRPr="00D74B8A">
        <w:rPr>
          <w:rFonts w:ascii="Palatino Linotype" w:hAnsi="Palatino Linotype"/>
          <w:sz w:val="22"/>
          <w:szCs w:val="22"/>
        </w:rPr>
        <w:t xml:space="preserve">In both </w:t>
      </w:r>
      <w:r w:rsidR="00177A9B" w:rsidRPr="00D74B8A">
        <w:rPr>
          <w:rFonts w:ascii="Palatino Linotype" w:hAnsi="Palatino Linotype"/>
          <w:i/>
          <w:sz w:val="22"/>
          <w:szCs w:val="22"/>
        </w:rPr>
        <w:t xml:space="preserve">Gillon </w:t>
      </w:r>
      <w:r w:rsidR="00177A9B" w:rsidRPr="00D74B8A">
        <w:rPr>
          <w:rFonts w:ascii="Palatino Linotype" w:hAnsi="Palatino Linotype"/>
          <w:sz w:val="22"/>
          <w:szCs w:val="22"/>
        </w:rPr>
        <w:t xml:space="preserve">and </w:t>
      </w:r>
      <w:r w:rsidR="00177A9B" w:rsidRPr="00D74B8A">
        <w:rPr>
          <w:rFonts w:ascii="Palatino Linotype" w:hAnsi="Palatino Linotype"/>
          <w:i/>
          <w:sz w:val="22"/>
          <w:szCs w:val="22"/>
        </w:rPr>
        <w:t>Bradley</w:t>
      </w:r>
      <w:r w:rsidR="00177A9B" w:rsidRPr="00D74B8A">
        <w:rPr>
          <w:rFonts w:ascii="Palatino Linotype" w:hAnsi="Palatino Linotype"/>
          <w:sz w:val="22"/>
          <w:szCs w:val="22"/>
        </w:rPr>
        <w:t xml:space="preserve"> the court was swayed by the consideration that the spouse complaining about the agreement had actually achieved an outcome that at the time they had thought valuable.  The agreements </w:t>
      </w:r>
      <w:r w:rsidR="00ED483D" w:rsidRPr="00D74B8A">
        <w:rPr>
          <w:rFonts w:ascii="Palatino Linotype" w:hAnsi="Palatino Linotype"/>
          <w:sz w:val="22"/>
          <w:szCs w:val="22"/>
        </w:rPr>
        <w:t xml:space="preserve">in those cases </w:t>
      </w:r>
      <w:r w:rsidR="00177A9B" w:rsidRPr="00D74B8A">
        <w:rPr>
          <w:rFonts w:ascii="Palatino Linotype" w:hAnsi="Palatino Linotype"/>
          <w:sz w:val="22"/>
          <w:szCs w:val="22"/>
        </w:rPr>
        <w:t xml:space="preserve">were not therefore one-sided. </w:t>
      </w:r>
      <w:r w:rsidR="00A61B0E" w:rsidRPr="00D74B8A">
        <w:rPr>
          <w:rFonts w:ascii="Palatino Linotype" w:hAnsi="Palatino Linotype"/>
          <w:sz w:val="22"/>
          <w:szCs w:val="22"/>
        </w:rPr>
        <w:t xml:space="preserve">An agreement that has something for both parties is much more likely to be considered fair and reasonable. </w:t>
      </w:r>
      <w:r w:rsidR="00177A9B" w:rsidRPr="00D74B8A">
        <w:rPr>
          <w:rFonts w:ascii="Palatino Linotype" w:hAnsi="Palatino Linotype"/>
          <w:sz w:val="22"/>
          <w:szCs w:val="22"/>
        </w:rPr>
        <w:t xml:space="preserve">It will be a relevant consideration when drafting an agreement to ask what is in this for the other party.  </w:t>
      </w:r>
      <w:r w:rsidR="00ED483D" w:rsidRPr="00D74B8A">
        <w:rPr>
          <w:rFonts w:ascii="Palatino Linotype" w:hAnsi="Palatino Linotype"/>
          <w:sz w:val="22"/>
          <w:szCs w:val="22"/>
        </w:rPr>
        <w:t>This is somewhat different when engaged in a hypothetical exercise in the context of a pre-nuptial agreement, but it is possible to apply a similar principle.</w:t>
      </w:r>
    </w:p>
    <w:p w14:paraId="4857CDC6" w14:textId="77777777" w:rsidR="00177A9B" w:rsidRPr="00D74B8A" w:rsidRDefault="00177A9B" w:rsidP="00D74B8A">
      <w:pPr>
        <w:spacing w:line="360" w:lineRule="auto"/>
        <w:rPr>
          <w:rFonts w:ascii="Palatino Linotype" w:hAnsi="Palatino Linotype"/>
          <w:sz w:val="22"/>
          <w:szCs w:val="22"/>
        </w:rPr>
      </w:pPr>
    </w:p>
    <w:p w14:paraId="099420B7" w14:textId="6A53AD55" w:rsidR="00177A9B" w:rsidRPr="00D74B8A" w:rsidRDefault="00A2735B" w:rsidP="00D74B8A">
      <w:pPr>
        <w:spacing w:line="360" w:lineRule="auto"/>
        <w:rPr>
          <w:rFonts w:ascii="Palatino Linotype" w:hAnsi="Palatino Linotype"/>
          <w:sz w:val="22"/>
          <w:szCs w:val="22"/>
        </w:rPr>
      </w:pPr>
      <w:r>
        <w:rPr>
          <w:rFonts w:ascii="Palatino Linotype" w:hAnsi="Palatino Linotype"/>
          <w:sz w:val="22"/>
          <w:szCs w:val="22"/>
        </w:rPr>
        <w:t xml:space="preserve">[6.2.2]  </w:t>
      </w:r>
      <w:r w:rsidR="00177A9B" w:rsidRPr="00D74B8A">
        <w:rPr>
          <w:rFonts w:ascii="Palatino Linotype" w:hAnsi="Palatino Linotype"/>
          <w:sz w:val="22"/>
          <w:szCs w:val="22"/>
        </w:rPr>
        <w:t>I</w:t>
      </w:r>
      <w:r w:rsidR="00A61B0E" w:rsidRPr="00D74B8A">
        <w:rPr>
          <w:rFonts w:ascii="Palatino Linotype" w:hAnsi="Palatino Linotype"/>
          <w:sz w:val="22"/>
          <w:szCs w:val="22"/>
        </w:rPr>
        <w:t xml:space="preserve">f one intending spouse is protecting a company, and the other has a </w:t>
      </w:r>
      <w:r w:rsidR="00AB3336" w:rsidRPr="00D74B8A">
        <w:rPr>
          <w:rFonts w:ascii="Palatino Linotype" w:hAnsi="Palatino Linotype"/>
          <w:sz w:val="22"/>
          <w:szCs w:val="22"/>
        </w:rPr>
        <w:t xml:space="preserve">(real) </w:t>
      </w:r>
      <w:r w:rsidR="00A61B0E" w:rsidRPr="00D74B8A">
        <w:rPr>
          <w:rFonts w:ascii="Palatino Linotype" w:hAnsi="Palatino Linotype"/>
          <w:sz w:val="22"/>
          <w:szCs w:val="22"/>
        </w:rPr>
        <w:t xml:space="preserve">business interest that is also to be protected, even if less valuable, there is an element of mutuality.  If </w:t>
      </w:r>
      <w:r w:rsidR="00A61B0E" w:rsidRPr="00D74B8A">
        <w:rPr>
          <w:rFonts w:ascii="Palatino Linotype" w:hAnsi="Palatino Linotype"/>
          <w:sz w:val="22"/>
          <w:szCs w:val="22"/>
        </w:rPr>
        <w:lastRenderedPageBreak/>
        <w:t>one is renouncing claims, but the agreement makes provision of a house and</w:t>
      </w:r>
      <w:r w:rsidR="00177A9B" w:rsidRPr="00D74B8A">
        <w:rPr>
          <w:rFonts w:ascii="Palatino Linotype" w:hAnsi="Palatino Linotype"/>
          <w:sz w:val="22"/>
          <w:szCs w:val="22"/>
        </w:rPr>
        <w:t xml:space="preserve"> payments to cover</w:t>
      </w:r>
      <w:r w:rsidR="00A61B0E" w:rsidRPr="00D74B8A">
        <w:rPr>
          <w:rFonts w:ascii="Palatino Linotype" w:hAnsi="Palatino Linotype"/>
          <w:sz w:val="22"/>
          <w:szCs w:val="22"/>
        </w:rPr>
        <w:t xml:space="preserve"> adjustment to loss of support, then</w:t>
      </w:r>
      <w:r w:rsidR="00EF10C9" w:rsidRPr="00D74B8A">
        <w:rPr>
          <w:rFonts w:ascii="Palatino Linotype" w:hAnsi="Palatino Linotype"/>
          <w:sz w:val="22"/>
          <w:szCs w:val="22"/>
        </w:rPr>
        <w:t xml:space="preserve"> the agreement contains advance benefit and assurance about</w:t>
      </w:r>
      <w:r w:rsidR="00A61B0E" w:rsidRPr="00D74B8A">
        <w:rPr>
          <w:rFonts w:ascii="Palatino Linotype" w:hAnsi="Palatino Linotype"/>
          <w:sz w:val="22"/>
          <w:szCs w:val="22"/>
        </w:rPr>
        <w:t xml:space="preserve"> </w:t>
      </w:r>
      <w:r w:rsidR="00161111" w:rsidRPr="00D74B8A">
        <w:rPr>
          <w:rFonts w:ascii="Palatino Linotype" w:hAnsi="Palatino Linotype"/>
          <w:sz w:val="22"/>
          <w:szCs w:val="22"/>
        </w:rPr>
        <w:t>some aspects of</w:t>
      </w:r>
      <w:r w:rsidR="00EF10C9" w:rsidRPr="00D74B8A">
        <w:rPr>
          <w:rFonts w:ascii="Palatino Linotype" w:hAnsi="Palatino Linotype"/>
          <w:sz w:val="22"/>
          <w:szCs w:val="22"/>
        </w:rPr>
        <w:t xml:space="preserve"> financial provision</w:t>
      </w:r>
      <w:r w:rsidR="00161111" w:rsidRPr="00D74B8A">
        <w:rPr>
          <w:rFonts w:ascii="Palatino Linotype" w:hAnsi="Palatino Linotype"/>
          <w:sz w:val="22"/>
          <w:szCs w:val="22"/>
        </w:rPr>
        <w:t>.</w:t>
      </w:r>
      <w:r w:rsidR="00177A9B" w:rsidRPr="00D74B8A">
        <w:rPr>
          <w:rFonts w:ascii="Palatino Linotype" w:hAnsi="Palatino Linotype"/>
          <w:sz w:val="22"/>
          <w:szCs w:val="22"/>
        </w:rPr>
        <w:t xml:space="preserve">  Even if one is making more of a sacrifice than the other, if it can be said that his or her interests have been taken into account and appropriate protection provided, then the agreement will be easier to defend.  </w:t>
      </w:r>
    </w:p>
    <w:p w14:paraId="1C173C02" w14:textId="77777777" w:rsidR="00177A9B" w:rsidRPr="00D74B8A" w:rsidRDefault="00177A9B" w:rsidP="00D74B8A">
      <w:pPr>
        <w:spacing w:line="360" w:lineRule="auto"/>
        <w:rPr>
          <w:rFonts w:ascii="Palatino Linotype" w:hAnsi="Palatino Linotype"/>
          <w:sz w:val="22"/>
          <w:szCs w:val="22"/>
        </w:rPr>
      </w:pPr>
    </w:p>
    <w:p w14:paraId="665BB142" w14:textId="18F50B8C" w:rsidR="00AB3336" w:rsidRPr="00D74B8A" w:rsidRDefault="00A2735B" w:rsidP="00D74B8A">
      <w:pPr>
        <w:spacing w:line="360" w:lineRule="auto"/>
        <w:rPr>
          <w:rFonts w:ascii="Palatino Linotype" w:hAnsi="Palatino Linotype"/>
          <w:sz w:val="22"/>
          <w:szCs w:val="22"/>
        </w:rPr>
      </w:pPr>
      <w:r>
        <w:rPr>
          <w:rFonts w:ascii="Palatino Linotype" w:hAnsi="Palatino Linotype"/>
          <w:sz w:val="22"/>
          <w:szCs w:val="22"/>
        </w:rPr>
        <w:t>[6.2.3</w:t>
      </w:r>
      <w:r w:rsidR="0034164C">
        <w:rPr>
          <w:rFonts w:ascii="Palatino Linotype" w:hAnsi="Palatino Linotype"/>
          <w:sz w:val="22"/>
          <w:szCs w:val="22"/>
        </w:rPr>
        <w:t xml:space="preserve">]  </w:t>
      </w:r>
      <w:r w:rsidR="00177A9B" w:rsidRPr="00D74B8A">
        <w:rPr>
          <w:rFonts w:ascii="Palatino Linotype" w:hAnsi="Palatino Linotype"/>
          <w:sz w:val="22"/>
          <w:szCs w:val="22"/>
        </w:rPr>
        <w:t xml:space="preserve">There </w:t>
      </w:r>
      <w:r w:rsidR="008205E7" w:rsidRPr="00D74B8A">
        <w:rPr>
          <w:rFonts w:ascii="Palatino Linotype" w:hAnsi="Palatino Linotype"/>
          <w:sz w:val="22"/>
          <w:szCs w:val="22"/>
        </w:rPr>
        <w:t>must be an element of concern about</w:t>
      </w:r>
      <w:r w:rsidR="00177A9B" w:rsidRPr="00D74B8A">
        <w:rPr>
          <w:rFonts w:ascii="Palatino Linotype" w:hAnsi="Palatino Linotype"/>
          <w:sz w:val="22"/>
          <w:szCs w:val="22"/>
        </w:rPr>
        <w:t xml:space="preserve"> an intending spouse who agrees to ren</w:t>
      </w:r>
      <w:r w:rsidR="008205E7" w:rsidRPr="00D74B8A">
        <w:rPr>
          <w:rFonts w:ascii="Palatino Linotype" w:hAnsi="Palatino Linotype"/>
          <w:sz w:val="22"/>
          <w:szCs w:val="22"/>
        </w:rPr>
        <w:t xml:space="preserve">ounce all claims to prove they </w:t>
      </w:r>
      <w:r w:rsidR="00177A9B" w:rsidRPr="00D74B8A">
        <w:rPr>
          <w:rFonts w:ascii="Palatino Linotype" w:hAnsi="Palatino Linotype"/>
          <w:sz w:val="22"/>
          <w:szCs w:val="22"/>
        </w:rPr>
        <w:t>love</w:t>
      </w:r>
      <w:r w:rsidR="008205E7" w:rsidRPr="00D74B8A">
        <w:rPr>
          <w:rFonts w:ascii="Palatino Linotype" w:hAnsi="Palatino Linotype"/>
          <w:sz w:val="22"/>
          <w:szCs w:val="22"/>
        </w:rPr>
        <w:t xml:space="preserve"> the other for </w:t>
      </w:r>
      <w:r w:rsidR="00177A9B" w:rsidRPr="00D74B8A">
        <w:rPr>
          <w:rFonts w:ascii="Palatino Linotype" w:hAnsi="Palatino Linotype"/>
          <w:sz w:val="22"/>
          <w:szCs w:val="22"/>
        </w:rPr>
        <w:t>him</w:t>
      </w:r>
      <w:r w:rsidR="008205E7" w:rsidRPr="00D74B8A">
        <w:rPr>
          <w:rFonts w:ascii="Palatino Linotype" w:hAnsi="Palatino Linotype"/>
          <w:sz w:val="22"/>
          <w:szCs w:val="22"/>
        </w:rPr>
        <w:t>self/herself, not his/her money</w:t>
      </w:r>
      <w:r w:rsidR="00177A9B" w:rsidRPr="00D74B8A">
        <w:rPr>
          <w:rFonts w:ascii="Palatino Linotype" w:hAnsi="Palatino Linotype"/>
          <w:sz w:val="22"/>
          <w:szCs w:val="22"/>
        </w:rPr>
        <w:t>.  The recipient of this devotion who accepts the sacrifice, without considering whether it is fair, may be setting up an agreement that fails to meet the test of section 16.  He or she may be thought to have taken unfair advantage of the other intending spouse.</w:t>
      </w:r>
    </w:p>
    <w:p w14:paraId="3169B1A4" w14:textId="77777777" w:rsidR="00161111" w:rsidRPr="00D74B8A" w:rsidRDefault="00161111" w:rsidP="00D74B8A">
      <w:pPr>
        <w:spacing w:line="360" w:lineRule="auto"/>
        <w:rPr>
          <w:rFonts w:ascii="Palatino Linotype" w:hAnsi="Palatino Linotype"/>
          <w:sz w:val="22"/>
          <w:szCs w:val="22"/>
        </w:rPr>
      </w:pPr>
    </w:p>
    <w:p w14:paraId="66E0A61B" w14:textId="3D1F0860" w:rsidR="00AE180B" w:rsidRPr="00D74B8A" w:rsidRDefault="00B46FC6" w:rsidP="00D74B8A">
      <w:pPr>
        <w:spacing w:line="360" w:lineRule="auto"/>
        <w:rPr>
          <w:rFonts w:ascii="Palatino Linotype" w:hAnsi="Palatino Linotype"/>
          <w:i/>
          <w:sz w:val="22"/>
          <w:szCs w:val="22"/>
        </w:rPr>
      </w:pPr>
      <w:r>
        <w:rPr>
          <w:rFonts w:ascii="Palatino Linotype" w:hAnsi="Palatino Linotype"/>
          <w:sz w:val="22"/>
          <w:szCs w:val="22"/>
        </w:rPr>
        <w:t>[6.</w:t>
      </w:r>
      <w:r w:rsidR="0034164C">
        <w:rPr>
          <w:rFonts w:ascii="Palatino Linotype" w:hAnsi="Palatino Linotype"/>
          <w:sz w:val="22"/>
          <w:szCs w:val="22"/>
        </w:rPr>
        <w:t xml:space="preserve">3]  </w:t>
      </w:r>
      <w:r w:rsidR="00AE180B" w:rsidRPr="00D74B8A">
        <w:rPr>
          <w:rFonts w:ascii="Palatino Linotype" w:hAnsi="Palatino Linotype"/>
          <w:i/>
          <w:sz w:val="22"/>
          <w:szCs w:val="22"/>
        </w:rPr>
        <w:t>Has there been disclosure?</w:t>
      </w:r>
    </w:p>
    <w:p w14:paraId="69545D9B" w14:textId="6A911FD7" w:rsidR="00EE280E" w:rsidRPr="00D74B8A" w:rsidRDefault="00B46FC6" w:rsidP="00D74B8A">
      <w:pPr>
        <w:spacing w:line="360" w:lineRule="auto"/>
        <w:rPr>
          <w:rFonts w:ascii="Palatino Linotype" w:hAnsi="Palatino Linotype"/>
          <w:sz w:val="22"/>
          <w:szCs w:val="22"/>
        </w:rPr>
      </w:pPr>
      <w:r>
        <w:rPr>
          <w:rFonts w:ascii="Palatino Linotype" w:hAnsi="Palatino Linotype"/>
          <w:sz w:val="22"/>
          <w:szCs w:val="22"/>
        </w:rPr>
        <w:t xml:space="preserve">[6.3.1] </w:t>
      </w:r>
      <w:r w:rsidR="00EF10C9" w:rsidRPr="00D74B8A">
        <w:rPr>
          <w:rFonts w:ascii="Palatino Linotype" w:hAnsi="Palatino Linotype"/>
          <w:sz w:val="22"/>
          <w:szCs w:val="22"/>
        </w:rPr>
        <w:t xml:space="preserve">Great store is laid on full disclosure of assets in </w:t>
      </w:r>
      <w:r w:rsidR="0053256F">
        <w:rPr>
          <w:rFonts w:ascii="Palatino Linotype" w:hAnsi="Palatino Linotype"/>
          <w:sz w:val="22"/>
          <w:szCs w:val="22"/>
        </w:rPr>
        <w:t xml:space="preserve">separation </w:t>
      </w:r>
      <w:r w:rsidR="00EF10C9" w:rsidRPr="00D74B8A">
        <w:rPr>
          <w:rFonts w:ascii="Palatino Linotype" w:hAnsi="Palatino Linotype"/>
          <w:sz w:val="22"/>
          <w:szCs w:val="22"/>
        </w:rPr>
        <w:t>agreements re</w:t>
      </w:r>
      <w:r w:rsidR="0053256F">
        <w:rPr>
          <w:rFonts w:ascii="Palatino Linotype" w:hAnsi="Palatino Linotype"/>
          <w:sz w:val="22"/>
          <w:szCs w:val="22"/>
        </w:rPr>
        <w:t xml:space="preserve">lating to financial provision. </w:t>
      </w:r>
      <w:r w:rsidR="009753D4" w:rsidRPr="00D74B8A">
        <w:rPr>
          <w:rFonts w:ascii="Palatino Linotype" w:hAnsi="Palatino Linotype"/>
          <w:sz w:val="22"/>
          <w:szCs w:val="22"/>
        </w:rPr>
        <w:t xml:space="preserve"> Solicitors do not </w:t>
      </w:r>
      <w:r w:rsidR="0053256F">
        <w:rPr>
          <w:rFonts w:ascii="Palatino Linotype" w:hAnsi="Palatino Linotype"/>
          <w:sz w:val="22"/>
          <w:szCs w:val="22"/>
        </w:rPr>
        <w:t xml:space="preserve">generally </w:t>
      </w:r>
      <w:r w:rsidR="009753D4" w:rsidRPr="00D74B8A">
        <w:rPr>
          <w:rFonts w:ascii="Palatino Linotype" w:hAnsi="Palatino Linotype"/>
          <w:sz w:val="22"/>
          <w:szCs w:val="22"/>
        </w:rPr>
        <w:t xml:space="preserve">resolve financial provision cases without information on assets and resources. </w:t>
      </w:r>
      <w:r w:rsidR="00EE280E" w:rsidRPr="00D74B8A">
        <w:rPr>
          <w:rFonts w:ascii="Palatino Linotype" w:hAnsi="Palatino Linotype"/>
          <w:sz w:val="22"/>
          <w:szCs w:val="22"/>
        </w:rPr>
        <w:t xml:space="preserve"> </w:t>
      </w:r>
      <w:r w:rsidR="008C6D99" w:rsidRPr="00D74B8A">
        <w:rPr>
          <w:rFonts w:ascii="Palatino Linotype" w:hAnsi="Palatino Linotype"/>
          <w:sz w:val="22"/>
          <w:szCs w:val="22"/>
        </w:rPr>
        <w:t xml:space="preserve">The issue of disclosure is also relevant </w:t>
      </w:r>
      <w:r w:rsidR="00D85886">
        <w:rPr>
          <w:rFonts w:ascii="Palatino Linotype" w:hAnsi="Palatino Linotype"/>
          <w:sz w:val="22"/>
          <w:szCs w:val="22"/>
        </w:rPr>
        <w:t xml:space="preserve">to a claim </w:t>
      </w:r>
      <w:r w:rsidR="008C6D99" w:rsidRPr="00D74B8A">
        <w:rPr>
          <w:rFonts w:ascii="Palatino Linotype" w:hAnsi="Palatino Linotype"/>
          <w:sz w:val="22"/>
          <w:szCs w:val="22"/>
        </w:rPr>
        <w:t>under section 16</w:t>
      </w:r>
      <w:r w:rsidR="00D85886">
        <w:rPr>
          <w:rFonts w:ascii="Palatino Linotype" w:hAnsi="Palatino Linotype"/>
          <w:sz w:val="22"/>
          <w:szCs w:val="22"/>
        </w:rPr>
        <w:t xml:space="preserve">, as was remarked by Lord Penrose in </w:t>
      </w:r>
      <w:r w:rsidR="00D85886">
        <w:rPr>
          <w:rFonts w:ascii="Palatino Linotype" w:hAnsi="Palatino Linotype"/>
          <w:i/>
          <w:sz w:val="22"/>
          <w:szCs w:val="22"/>
        </w:rPr>
        <w:t xml:space="preserve">Gillon v Gillon (No 1) </w:t>
      </w:r>
      <w:r w:rsidR="00D85886">
        <w:rPr>
          <w:rFonts w:ascii="Palatino Linotype" w:hAnsi="Palatino Linotype"/>
          <w:sz w:val="22"/>
          <w:szCs w:val="22"/>
        </w:rPr>
        <w:t>1994 SLT 978</w:t>
      </w:r>
      <w:r w:rsidR="008C6D99" w:rsidRPr="00D74B8A">
        <w:rPr>
          <w:rFonts w:ascii="Palatino Linotype" w:hAnsi="Palatino Linotype"/>
          <w:sz w:val="22"/>
          <w:szCs w:val="22"/>
        </w:rPr>
        <w:t>.</w:t>
      </w:r>
      <w:r w:rsidR="0053256F">
        <w:rPr>
          <w:rFonts w:ascii="Palatino Linotype" w:hAnsi="Palatino Linotype"/>
          <w:sz w:val="22"/>
          <w:szCs w:val="22"/>
        </w:rPr>
        <w:t xml:space="preserve">  The issues raised by section 16 are however distinct form what might in the end be awarded by way of financial provision, as was confirmed by the Inner House who agreed that a preliminary proof on the issues raised by section 16 was competent in  </w:t>
      </w:r>
      <w:r w:rsidR="0053256F">
        <w:rPr>
          <w:rFonts w:ascii="Palatino Linotype" w:hAnsi="Palatino Linotype"/>
          <w:i/>
          <w:sz w:val="22"/>
          <w:szCs w:val="22"/>
        </w:rPr>
        <w:t>Gillon v Gillon (No 2)</w:t>
      </w:r>
      <w:r w:rsidR="008C6D99" w:rsidRPr="00D74B8A">
        <w:rPr>
          <w:rFonts w:ascii="Palatino Linotype" w:hAnsi="Palatino Linotype"/>
          <w:sz w:val="22"/>
          <w:szCs w:val="22"/>
        </w:rPr>
        <w:t xml:space="preserve"> </w:t>
      </w:r>
      <w:r w:rsidR="0053256F">
        <w:rPr>
          <w:rFonts w:ascii="Palatino Linotype" w:hAnsi="Palatino Linotype"/>
          <w:sz w:val="22"/>
          <w:szCs w:val="22"/>
        </w:rPr>
        <w:t xml:space="preserve">1994 SC 162. </w:t>
      </w:r>
      <w:r w:rsidR="008C6D99" w:rsidRPr="00D74B8A">
        <w:rPr>
          <w:rFonts w:ascii="Palatino Linotype" w:hAnsi="Palatino Linotype"/>
          <w:sz w:val="22"/>
          <w:szCs w:val="22"/>
        </w:rPr>
        <w:t xml:space="preserve"> </w:t>
      </w:r>
      <w:r w:rsidR="00EE280E" w:rsidRPr="00D74B8A">
        <w:rPr>
          <w:rFonts w:ascii="Palatino Linotype" w:hAnsi="Palatino Linotype"/>
          <w:sz w:val="22"/>
          <w:szCs w:val="22"/>
        </w:rPr>
        <w:t xml:space="preserve">Failure to make full disclosure may result in a separation agreement being set aside, as in </w:t>
      </w:r>
      <w:r w:rsidR="00EE280E" w:rsidRPr="00D74B8A">
        <w:rPr>
          <w:rFonts w:ascii="Palatino Linotype" w:hAnsi="Palatino Linotype"/>
          <w:i/>
          <w:sz w:val="22"/>
          <w:szCs w:val="22"/>
        </w:rPr>
        <w:t xml:space="preserve">McKay v McKay </w:t>
      </w:r>
      <w:r w:rsidR="00EE280E" w:rsidRPr="00D74B8A">
        <w:rPr>
          <w:rFonts w:ascii="Palatino Linotype" w:hAnsi="Palatino Linotype"/>
          <w:sz w:val="22"/>
          <w:szCs w:val="22"/>
        </w:rPr>
        <w:t xml:space="preserve">2006 SLT (Sh Ct) 149, where the husband failed to disclose </w:t>
      </w:r>
      <w:r w:rsidR="003F6624" w:rsidRPr="00D74B8A">
        <w:rPr>
          <w:rFonts w:ascii="Palatino Linotype" w:hAnsi="Palatino Linotype"/>
          <w:sz w:val="22"/>
          <w:szCs w:val="22"/>
        </w:rPr>
        <w:t>a</w:t>
      </w:r>
      <w:r w:rsidR="00E3245B" w:rsidRPr="00D74B8A">
        <w:rPr>
          <w:rFonts w:ascii="Palatino Linotype" w:hAnsi="Palatino Linotype"/>
          <w:sz w:val="22"/>
          <w:szCs w:val="22"/>
        </w:rPr>
        <w:t xml:space="preserve"> pension policy</w:t>
      </w:r>
      <w:r w:rsidR="000E1C3C" w:rsidRPr="00D74B8A">
        <w:rPr>
          <w:rFonts w:ascii="Palatino Linotype" w:hAnsi="Palatino Linotype"/>
          <w:sz w:val="22"/>
          <w:szCs w:val="22"/>
        </w:rPr>
        <w:t>, albeit he apparently did this on legal advice</w:t>
      </w:r>
      <w:r w:rsidR="007C0F18" w:rsidRPr="00D74B8A">
        <w:rPr>
          <w:rFonts w:ascii="Palatino Linotype" w:hAnsi="Palatino Linotype"/>
          <w:sz w:val="22"/>
          <w:szCs w:val="22"/>
        </w:rPr>
        <w:t xml:space="preserve">.  The sheriff set aside the resulting minute of agreement, and her decision was sustained by the sheriff principal.  </w:t>
      </w:r>
      <w:r w:rsidR="008C6D99" w:rsidRPr="00D74B8A">
        <w:rPr>
          <w:rFonts w:ascii="Palatino Linotype" w:hAnsi="Palatino Linotype"/>
          <w:sz w:val="22"/>
          <w:szCs w:val="22"/>
        </w:rPr>
        <w:t xml:space="preserve">Failure to make full disclosure played a part in persuading the sheriff to set aside an agreement in </w:t>
      </w:r>
      <w:r w:rsidR="008C6D99" w:rsidRPr="00D74B8A">
        <w:rPr>
          <w:rFonts w:ascii="Palatino Linotype" w:hAnsi="Palatino Linotype"/>
          <w:i/>
          <w:sz w:val="22"/>
          <w:szCs w:val="22"/>
        </w:rPr>
        <w:t xml:space="preserve">MacDonald v MacDonald </w:t>
      </w:r>
      <w:r w:rsidR="008C6D99" w:rsidRPr="00D74B8A">
        <w:rPr>
          <w:rFonts w:ascii="Palatino Linotype" w:hAnsi="Palatino Linotype"/>
          <w:sz w:val="22"/>
          <w:szCs w:val="22"/>
        </w:rPr>
        <w:t>2009 Fam LR 131, although in that case there was also an unacceptable degree of coercion, in the form of the husband repeatedly contacting the wife and shouting and swearing at her.  Again this was a decision sustained by the sheriff principal.</w:t>
      </w:r>
    </w:p>
    <w:p w14:paraId="340B49F3" w14:textId="77777777" w:rsidR="00EE280E" w:rsidRPr="00D74B8A" w:rsidRDefault="00EE280E" w:rsidP="00D74B8A">
      <w:pPr>
        <w:spacing w:line="360" w:lineRule="auto"/>
        <w:rPr>
          <w:rFonts w:ascii="Palatino Linotype" w:hAnsi="Palatino Linotype"/>
          <w:sz w:val="22"/>
          <w:szCs w:val="22"/>
        </w:rPr>
      </w:pPr>
    </w:p>
    <w:p w14:paraId="7A563007" w14:textId="218D98AB" w:rsidR="002B0FF0" w:rsidRPr="00D74B8A" w:rsidRDefault="0034164C" w:rsidP="00D74B8A">
      <w:pPr>
        <w:spacing w:line="360" w:lineRule="auto"/>
        <w:rPr>
          <w:rFonts w:ascii="Palatino Linotype" w:hAnsi="Palatino Linotype"/>
          <w:sz w:val="22"/>
          <w:szCs w:val="22"/>
        </w:rPr>
      </w:pPr>
      <w:r>
        <w:rPr>
          <w:rFonts w:ascii="Palatino Linotype" w:hAnsi="Palatino Linotype"/>
          <w:sz w:val="22"/>
          <w:szCs w:val="22"/>
        </w:rPr>
        <w:lastRenderedPageBreak/>
        <w:t>[6</w:t>
      </w:r>
      <w:r w:rsidR="00B46FC6">
        <w:rPr>
          <w:rFonts w:ascii="Palatino Linotype" w:hAnsi="Palatino Linotype"/>
          <w:sz w:val="22"/>
          <w:szCs w:val="22"/>
        </w:rPr>
        <w:t>.3.2</w:t>
      </w:r>
      <w:r>
        <w:rPr>
          <w:rFonts w:ascii="Palatino Linotype" w:hAnsi="Palatino Linotype"/>
          <w:sz w:val="22"/>
          <w:szCs w:val="22"/>
        </w:rPr>
        <w:t xml:space="preserve">]  </w:t>
      </w:r>
      <w:r w:rsidR="008C6D99" w:rsidRPr="00D74B8A">
        <w:rPr>
          <w:rFonts w:ascii="Palatino Linotype" w:hAnsi="Palatino Linotype"/>
          <w:sz w:val="22"/>
          <w:szCs w:val="22"/>
        </w:rPr>
        <w:t xml:space="preserve">Failure to take account of assets need not be culpable.  </w:t>
      </w:r>
      <w:r w:rsidR="009753D4" w:rsidRPr="00D74B8A">
        <w:rPr>
          <w:rFonts w:ascii="Palatino Linotype" w:hAnsi="Palatino Linotype"/>
          <w:sz w:val="22"/>
          <w:szCs w:val="22"/>
        </w:rPr>
        <w:t xml:space="preserve">In </w:t>
      </w:r>
      <w:r w:rsidR="009753D4" w:rsidRPr="00D74B8A">
        <w:rPr>
          <w:rFonts w:ascii="Palatino Linotype" w:hAnsi="Palatino Linotype"/>
          <w:i/>
          <w:sz w:val="22"/>
          <w:szCs w:val="22"/>
        </w:rPr>
        <w:t xml:space="preserve">Worth v Worth </w:t>
      </w:r>
      <w:r w:rsidR="009753D4" w:rsidRPr="00D74B8A">
        <w:rPr>
          <w:rFonts w:ascii="Palatino Linotype" w:hAnsi="Palatino Linotype"/>
          <w:sz w:val="22"/>
          <w:szCs w:val="22"/>
        </w:rPr>
        <w:t xml:space="preserve">1994 SLT (Sh Ct) 54 Sheriff Thomson set aside a minute of agreement discharging financial claims, which overlooked the parties’ pensions.  </w:t>
      </w:r>
      <w:r w:rsidR="008C6D99" w:rsidRPr="00D74B8A">
        <w:rPr>
          <w:rFonts w:ascii="Palatino Linotype" w:hAnsi="Palatino Linotype"/>
          <w:sz w:val="22"/>
          <w:szCs w:val="22"/>
        </w:rPr>
        <w:t>The parties</w:t>
      </w:r>
      <w:r w:rsidR="002B0FF0" w:rsidRPr="00D74B8A">
        <w:rPr>
          <w:rFonts w:ascii="Palatino Linotype" w:hAnsi="Palatino Linotype"/>
          <w:sz w:val="22"/>
          <w:szCs w:val="22"/>
        </w:rPr>
        <w:t xml:space="preserve"> had</w:t>
      </w:r>
      <w:r w:rsidR="008C6D99" w:rsidRPr="00D74B8A">
        <w:rPr>
          <w:rFonts w:ascii="Palatino Linotype" w:hAnsi="Palatino Linotype"/>
          <w:sz w:val="22"/>
          <w:szCs w:val="22"/>
        </w:rPr>
        <w:t xml:space="preserve"> simply not appreciated the significance of the pensions,</w:t>
      </w:r>
      <w:r w:rsidR="002B0FF0" w:rsidRPr="00D74B8A">
        <w:rPr>
          <w:rFonts w:ascii="Palatino Linotype" w:hAnsi="Palatino Linotype"/>
          <w:sz w:val="22"/>
          <w:szCs w:val="22"/>
        </w:rPr>
        <w:t xml:space="preserve"> </w:t>
      </w:r>
      <w:r w:rsidR="008C6D99" w:rsidRPr="00D74B8A">
        <w:rPr>
          <w:rFonts w:ascii="Palatino Linotype" w:hAnsi="Palatino Linotype"/>
          <w:sz w:val="22"/>
          <w:szCs w:val="22"/>
        </w:rPr>
        <w:t xml:space="preserve">had </w:t>
      </w:r>
      <w:r w:rsidR="002B0FF0" w:rsidRPr="00D74B8A">
        <w:rPr>
          <w:rFonts w:ascii="Palatino Linotype" w:hAnsi="Palatino Linotype"/>
          <w:sz w:val="22"/>
          <w:szCs w:val="22"/>
        </w:rPr>
        <w:t xml:space="preserve">reached an agreement between themselves, without the benefit of advice, and had asked a solicitor to put this into “legal form”.  </w:t>
      </w:r>
      <w:r w:rsidR="00F610FF" w:rsidRPr="00D74B8A">
        <w:rPr>
          <w:rFonts w:ascii="Palatino Linotype" w:hAnsi="Palatino Linotype"/>
          <w:sz w:val="22"/>
          <w:szCs w:val="22"/>
        </w:rPr>
        <w:t>Sheriff Macnair</w:t>
      </w:r>
      <w:r w:rsidR="005A584C" w:rsidRPr="00D74B8A">
        <w:rPr>
          <w:rFonts w:ascii="Palatino Linotype" w:hAnsi="Palatino Linotype"/>
          <w:sz w:val="22"/>
          <w:szCs w:val="22"/>
        </w:rPr>
        <w:t xml:space="preserve">, in </w:t>
      </w:r>
      <w:r w:rsidR="005A584C" w:rsidRPr="00D74B8A">
        <w:rPr>
          <w:rFonts w:ascii="Palatino Linotype" w:hAnsi="Palatino Linotype"/>
          <w:i/>
          <w:sz w:val="22"/>
          <w:szCs w:val="22"/>
        </w:rPr>
        <w:t xml:space="preserve">Clarkson v Clarkson </w:t>
      </w:r>
      <w:r w:rsidR="005A584C" w:rsidRPr="00D74B8A">
        <w:rPr>
          <w:rFonts w:ascii="Palatino Linotype" w:hAnsi="Palatino Linotype"/>
          <w:sz w:val="22"/>
          <w:szCs w:val="22"/>
        </w:rPr>
        <w:t>2008 SLT (Sh Ct) 2,</w:t>
      </w:r>
      <w:r w:rsidR="00F610FF" w:rsidRPr="00D74B8A">
        <w:rPr>
          <w:rFonts w:ascii="Palatino Linotype" w:hAnsi="Palatino Linotype"/>
          <w:sz w:val="22"/>
          <w:szCs w:val="22"/>
        </w:rPr>
        <w:t xml:space="preserve"> set aside an agreement that had proceeded on the basis of a misapprehension about the value of the husband’s shares in his own business.  While the forensic accountants disagreed over the value, neither was aware that VAT had mistakenly been included in turnover.  HMRC insisted on immediate repayment. In consequence the company was liquidated.</w:t>
      </w:r>
      <w:r w:rsidR="005A584C" w:rsidRPr="00D74B8A">
        <w:rPr>
          <w:rFonts w:ascii="Palatino Linotype" w:hAnsi="Palatino Linotype"/>
          <w:sz w:val="22"/>
          <w:szCs w:val="22"/>
        </w:rPr>
        <w:t xml:space="preserve"> </w:t>
      </w:r>
    </w:p>
    <w:p w14:paraId="554666E0" w14:textId="77777777" w:rsidR="009753D4" w:rsidRPr="00D74B8A" w:rsidRDefault="009753D4" w:rsidP="00D74B8A">
      <w:pPr>
        <w:spacing w:line="360" w:lineRule="auto"/>
        <w:rPr>
          <w:rFonts w:ascii="Palatino Linotype" w:hAnsi="Palatino Linotype"/>
          <w:sz w:val="22"/>
          <w:szCs w:val="22"/>
        </w:rPr>
      </w:pPr>
    </w:p>
    <w:p w14:paraId="7E2D4FF8" w14:textId="72223A1D" w:rsidR="00EF10C9" w:rsidRPr="00D74B8A" w:rsidRDefault="00B46FC6" w:rsidP="00D74B8A">
      <w:pPr>
        <w:spacing w:line="360" w:lineRule="auto"/>
        <w:rPr>
          <w:rFonts w:ascii="Palatino Linotype" w:hAnsi="Palatino Linotype"/>
          <w:sz w:val="22"/>
          <w:szCs w:val="22"/>
        </w:rPr>
      </w:pPr>
      <w:r>
        <w:rPr>
          <w:rFonts w:ascii="Palatino Linotype" w:hAnsi="Palatino Linotype"/>
          <w:sz w:val="22"/>
          <w:szCs w:val="22"/>
        </w:rPr>
        <w:t>[6.3.3</w:t>
      </w:r>
      <w:r w:rsidR="0034164C">
        <w:rPr>
          <w:rFonts w:ascii="Palatino Linotype" w:hAnsi="Palatino Linotype"/>
          <w:sz w:val="22"/>
          <w:szCs w:val="22"/>
        </w:rPr>
        <w:t xml:space="preserve">]  </w:t>
      </w:r>
      <w:r w:rsidR="005A39F3" w:rsidRPr="00D74B8A">
        <w:rPr>
          <w:rFonts w:ascii="Palatino Linotype" w:hAnsi="Palatino Linotype"/>
          <w:sz w:val="22"/>
          <w:szCs w:val="22"/>
        </w:rPr>
        <w:t>Disclosure</w:t>
      </w:r>
      <w:r w:rsidR="00EF10C9" w:rsidRPr="00D74B8A">
        <w:rPr>
          <w:rFonts w:ascii="Palatino Linotype" w:hAnsi="Palatino Linotype"/>
          <w:sz w:val="22"/>
          <w:szCs w:val="22"/>
        </w:rPr>
        <w:t xml:space="preserve"> may be less relevant in a pre-nuptial agreement, as the financial provision to be made will be in the future, when the relevant assets </w:t>
      </w:r>
      <w:r w:rsidR="000310C0" w:rsidRPr="00D74B8A">
        <w:rPr>
          <w:rFonts w:ascii="Palatino Linotype" w:hAnsi="Palatino Linotype"/>
          <w:sz w:val="22"/>
          <w:szCs w:val="22"/>
        </w:rPr>
        <w:t xml:space="preserve">may be quite different.  </w:t>
      </w:r>
      <w:r w:rsidR="003C3A92" w:rsidRPr="00D74B8A">
        <w:rPr>
          <w:rFonts w:ascii="Palatino Linotype" w:hAnsi="Palatino Linotype"/>
          <w:sz w:val="22"/>
          <w:szCs w:val="22"/>
        </w:rPr>
        <w:t xml:space="preserve">There is something almost laughable about schedules where one spouse lists multimillion pound shareholdings and the other puts down their CD collection and </w:t>
      </w:r>
      <w:r w:rsidR="006C0CB8" w:rsidRPr="00D74B8A">
        <w:rPr>
          <w:rFonts w:ascii="Palatino Linotype" w:hAnsi="Palatino Linotype"/>
          <w:sz w:val="22"/>
          <w:szCs w:val="22"/>
        </w:rPr>
        <w:t>Volkswagen.  T</w:t>
      </w:r>
      <w:r w:rsidR="003C3A92" w:rsidRPr="00D74B8A">
        <w:rPr>
          <w:rFonts w:ascii="Palatino Linotype" w:hAnsi="Palatino Linotype"/>
          <w:sz w:val="22"/>
          <w:szCs w:val="22"/>
        </w:rPr>
        <w:t xml:space="preserve">hese schedules do </w:t>
      </w:r>
      <w:r w:rsidR="006C0CB8" w:rsidRPr="00D74B8A">
        <w:rPr>
          <w:rFonts w:ascii="Palatino Linotype" w:hAnsi="Palatino Linotype"/>
          <w:sz w:val="22"/>
          <w:szCs w:val="22"/>
        </w:rPr>
        <w:t xml:space="preserve">however </w:t>
      </w:r>
      <w:r w:rsidR="003C3A92" w:rsidRPr="00D74B8A">
        <w:rPr>
          <w:rFonts w:ascii="Palatino Linotype" w:hAnsi="Palatino Linotype"/>
          <w:sz w:val="22"/>
          <w:szCs w:val="22"/>
        </w:rPr>
        <w:t>give the context for determining whether the agreement is unfair or unreasonable, given that section 16 requires the test to be applied “at the time the agreement is entered into.”</w:t>
      </w:r>
      <w:r w:rsidR="006C0CB8" w:rsidRPr="00D74B8A">
        <w:rPr>
          <w:rFonts w:ascii="Palatino Linotype" w:hAnsi="Palatino Linotype"/>
          <w:sz w:val="22"/>
          <w:szCs w:val="22"/>
        </w:rPr>
        <w:t xml:space="preserve">  This can, of course, be played both ways.  On the one hand </w:t>
      </w:r>
      <w:r w:rsidR="00FD015B">
        <w:rPr>
          <w:rFonts w:ascii="Palatino Linotype" w:hAnsi="Palatino Linotype"/>
          <w:sz w:val="22"/>
          <w:szCs w:val="22"/>
        </w:rPr>
        <w:t>it may highlight that there is a</w:t>
      </w:r>
      <w:r w:rsidR="006C0CB8" w:rsidRPr="00D74B8A">
        <w:rPr>
          <w:rFonts w:ascii="Palatino Linotype" w:hAnsi="Palatino Linotype"/>
          <w:sz w:val="22"/>
          <w:szCs w:val="22"/>
        </w:rPr>
        <w:t xml:space="preserve"> serious imbalance of resources.  On </w:t>
      </w:r>
      <w:r w:rsidR="0053256F">
        <w:rPr>
          <w:rFonts w:ascii="Palatino Linotype" w:hAnsi="Palatino Linotype"/>
          <w:sz w:val="22"/>
          <w:szCs w:val="22"/>
        </w:rPr>
        <w:t>the other it</w:t>
      </w:r>
      <w:r w:rsidR="006C0CB8" w:rsidRPr="00D74B8A">
        <w:rPr>
          <w:rFonts w:ascii="Palatino Linotype" w:hAnsi="Palatino Linotype"/>
          <w:sz w:val="22"/>
          <w:szCs w:val="22"/>
        </w:rPr>
        <w:t xml:space="preserve"> permit</w:t>
      </w:r>
      <w:r w:rsidR="0053256F">
        <w:rPr>
          <w:rFonts w:ascii="Palatino Linotype" w:hAnsi="Palatino Linotype"/>
          <w:sz w:val="22"/>
          <w:szCs w:val="22"/>
        </w:rPr>
        <w:t>s</w:t>
      </w:r>
      <w:r w:rsidR="006C0CB8" w:rsidRPr="00D74B8A">
        <w:rPr>
          <w:rFonts w:ascii="Palatino Linotype" w:hAnsi="Palatino Linotype"/>
          <w:sz w:val="22"/>
          <w:szCs w:val="22"/>
        </w:rPr>
        <w:t xml:space="preserve"> an argument that the imbalance was fully known at the </w:t>
      </w:r>
      <w:r w:rsidR="00FD015B">
        <w:rPr>
          <w:rFonts w:ascii="Palatino Linotype" w:hAnsi="Palatino Linotype"/>
          <w:sz w:val="22"/>
          <w:szCs w:val="22"/>
        </w:rPr>
        <w:t xml:space="preserve">material </w:t>
      </w:r>
      <w:r w:rsidR="006C0CB8" w:rsidRPr="00D74B8A">
        <w:rPr>
          <w:rFonts w:ascii="Palatino Linotype" w:hAnsi="Palatino Linotype"/>
          <w:sz w:val="22"/>
          <w:szCs w:val="22"/>
        </w:rPr>
        <w:t>time.</w:t>
      </w:r>
    </w:p>
    <w:p w14:paraId="6F9B7D6D" w14:textId="77777777" w:rsidR="00AE180B" w:rsidRPr="00D74B8A" w:rsidRDefault="00AE180B" w:rsidP="00D74B8A">
      <w:pPr>
        <w:spacing w:line="360" w:lineRule="auto"/>
        <w:rPr>
          <w:rFonts w:ascii="Palatino Linotype" w:hAnsi="Palatino Linotype"/>
          <w:i/>
          <w:sz w:val="22"/>
          <w:szCs w:val="22"/>
        </w:rPr>
      </w:pPr>
    </w:p>
    <w:p w14:paraId="690D5962" w14:textId="5C3566D8" w:rsidR="005A39F3" w:rsidRPr="00D74B8A" w:rsidRDefault="00B46FC6" w:rsidP="00D74B8A">
      <w:pPr>
        <w:spacing w:line="360" w:lineRule="auto"/>
        <w:rPr>
          <w:rFonts w:ascii="Palatino Linotype" w:hAnsi="Palatino Linotype"/>
          <w:i/>
          <w:sz w:val="22"/>
          <w:szCs w:val="22"/>
        </w:rPr>
      </w:pPr>
      <w:r>
        <w:rPr>
          <w:rFonts w:ascii="Palatino Linotype" w:hAnsi="Palatino Linotype"/>
          <w:sz w:val="22"/>
          <w:szCs w:val="22"/>
        </w:rPr>
        <w:t>[6.4</w:t>
      </w:r>
      <w:r w:rsidR="0034164C">
        <w:rPr>
          <w:rFonts w:ascii="Palatino Linotype" w:hAnsi="Palatino Linotype"/>
          <w:sz w:val="22"/>
          <w:szCs w:val="22"/>
        </w:rPr>
        <w:t xml:space="preserve">]  </w:t>
      </w:r>
      <w:r w:rsidR="00592A73">
        <w:rPr>
          <w:rFonts w:ascii="Palatino Linotype" w:hAnsi="Palatino Linotype"/>
          <w:i/>
          <w:sz w:val="22"/>
          <w:szCs w:val="22"/>
        </w:rPr>
        <w:t>Has there been (good) l</w:t>
      </w:r>
      <w:r w:rsidR="005A39F3" w:rsidRPr="00D74B8A">
        <w:rPr>
          <w:rFonts w:ascii="Palatino Linotype" w:hAnsi="Palatino Linotype"/>
          <w:i/>
          <w:sz w:val="22"/>
          <w:szCs w:val="22"/>
        </w:rPr>
        <w:t>egal advice</w:t>
      </w:r>
    </w:p>
    <w:p w14:paraId="480EC1F0" w14:textId="159C548D" w:rsidR="005A39F3" w:rsidRPr="00D74B8A" w:rsidRDefault="00B46FC6" w:rsidP="00D74B8A">
      <w:pPr>
        <w:spacing w:line="360" w:lineRule="auto"/>
        <w:rPr>
          <w:rFonts w:ascii="Palatino Linotype" w:hAnsi="Palatino Linotype"/>
          <w:sz w:val="22"/>
          <w:szCs w:val="22"/>
        </w:rPr>
      </w:pPr>
      <w:r>
        <w:rPr>
          <w:rFonts w:ascii="Palatino Linotype" w:hAnsi="Palatino Linotype"/>
          <w:sz w:val="22"/>
          <w:szCs w:val="22"/>
        </w:rPr>
        <w:t>[6.4</w:t>
      </w:r>
      <w:r w:rsidR="0034164C">
        <w:rPr>
          <w:rFonts w:ascii="Palatino Linotype" w:hAnsi="Palatino Linotype"/>
          <w:sz w:val="22"/>
          <w:szCs w:val="22"/>
        </w:rPr>
        <w:t xml:space="preserve">.1]  </w:t>
      </w:r>
      <w:r w:rsidR="005A39F3" w:rsidRPr="00D74B8A">
        <w:rPr>
          <w:rFonts w:ascii="Palatino Linotype" w:hAnsi="Palatino Linotype"/>
          <w:sz w:val="22"/>
          <w:szCs w:val="22"/>
        </w:rPr>
        <w:t xml:space="preserve">There is no getting around the issue of legal advice.  As we seen from </w:t>
      </w:r>
      <w:r w:rsidR="005A39F3" w:rsidRPr="00D74B8A">
        <w:rPr>
          <w:rFonts w:ascii="Palatino Linotype" w:hAnsi="Palatino Linotype"/>
          <w:i/>
          <w:sz w:val="22"/>
          <w:szCs w:val="22"/>
        </w:rPr>
        <w:t xml:space="preserve">Bradley, </w:t>
      </w:r>
      <w:r w:rsidR="005A39F3" w:rsidRPr="00D74B8A">
        <w:rPr>
          <w:rFonts w:ascii="Palatino Linotype" w:hAnsi="Palatino Linotype"/>
          <w:sz w:val="22"/>
          <w:szCs w:val="22"/>
        </w:rPr>
        <w:t xml:space="preserve">the absence or otherwise of legal advice may not be determinative, but it will be material.  Interestingly Lord Weir did not refer to legal advice </w:t>
      </w:r>
      <w:r w:rsidR="005A39F3" w:rsidRPr="00D74B8A">
        <w:rPr>
          <w:rFonts w:ascii="Palatino Linotype" w:hAnsi="Palatino Linotype"/>
          <w:i/>
          <w:sz w:val="22"/>
          <w:szCs w:val="22"/>
        </w:rPr>
        <w:t xml:space="preserve">per se. </w:t>
      </w:r>
      <w:r w:rsidR="005A39F3" w:rsidRPr="00D74B8A">
        <w:rPr>
          <w:rFonts w:ascii="Palatino Linotype" w:hAnsi="Palatino Linotype"/>
          <w:sz w:val="22"/>
          <w:szCs w:val="22"/>
        </w:rPr>
        <w:t>In his opinion he refers to the</w:t>
      </w:r>
      <w:r w:rsidR="005A39F3" w:rsidRPr="00D74B8A">
        <w:rPr>
          <w:rFonts w:ascii="Palatino Linotype" w:hAnsi="Palatino Linotype"/>
          <w:i/>
          <w:sz w:val="22"/>
          <w:szCs w:val="22"/>
        </w:rPr>
        <w:t xml:space="preserve"> “</w:t>
      </w:r>
      <w:r w:rsidR="005A39F3" w:rsidRPr="00D74B8A">
        <w:rPr>
          <w:rFonts w:ascii="Palatino Linotype" w:hAnsi="Palatino Linotype"/>
          <w:sz w:val="22"/>
          <w:szCs w:val="22"/>
        </w:rPr>
        <w:t xml:space="preserve">nature and quality of any legal advice given to either party”.  Bad legal advice may result in an agreement being set aside.  This may be a little unfair on the other party, but in principle he or she may not be permitted to take advantage of the fact that their intending spouse was poorly advised. </w:t>
      </w:r>
      <w:r w:rsidR="00787B6E">
        <w:rPr>
          <w:rFonts w:ascii="Palatino Linotype" w:hAnsi="Palatino Linotype"/>
          <w:sz w:val="22"/>
          <w:szCs w:val="22"/>
        </w:rPr>
        <w:t xml:space="preserve"> Lord Penrose in </w:t>
      </w:r>
      <w:r w:rsidR="00787B6E">
        <w:rPr>
          <w:rFonts w:ascii="Palatino Linotype" w:hAnsi="Palatino Linotype"/>
          <w:i/>
          <w:sz w:val="22"/>
          <w:szCs w:val="22"/>
        </w:rPr>
        <w:t>Gillon v Gillon (No 1)</w:t>
      </w:r>
      <w:r w:rsidR="00787B6E">
        <w:rPr>
          <w:rFonts w:ascii="Palatino Linotype" w:hAnsi="Palatino Linotype"/>
          <w:sz w:val="22"/>
          <w:szCs w:val="22"/>
        </w:rPr>
        <w:t xml:space="preserve"> remarked that it would often be the case that a party who is advantaged by incompetent legal advice received by another party will be fully aware of the position. </w:t>
      </w:r>
      <w:r w:rsidR="005A39F3" w:rsidRPr="00D74B8A">
        <w:rPr>
          <w:rFonts w:ascii="Palatino Linotype" w:hAnsi="Palatino Linotype"/>
          <w:sz w:val="22"/>
          <w:szCs w:val="22"/>
        </w:rPr>
        <w:t xml:space="preserve"> </w:t>
      </w:r>
      <w:r w:rsidR="00D71B6E" w:rsidRPr="00D74B8A">
        <w:rPr>
          <w:rFonts w:ascii="Palatino Linotype" w:hAnsi="Palatino Linotype"/>
          <w:sz w:val="22"/>
          <w:szCs w:val="22"/>
        </w:rPr>
        <w:t xml:space="preserve">Bad advice is however not conclusive.  In </w:t>
      </w:r>
      <w:r w:rsidR="00D71B6E" w:rsidRPr="00D74B8A">
        <w:rPr>
          <w:rFonts w:ascii="Palatino Linotype" w:hAnsi="Palatino Linotype"/>
          <w:i/>
          <w:sz w:val="22"/>
          <w:szCs w:val="22"/>
        </w:rPr>
        <w:lastRenderedPageBreak/>
        <w:t xml:space="preserve">Turner v Turner </w:t>
      </w:r>
      <w:r w:rsidR="00D71B6E" w:rsidRPr="00D74B8A">
        <w:rPr>
          <w:rFonts w:ascii="Palatino Linotype" w:hAnsi="Palatino Linotype"/>
          <w:sz w:val="22"/>
          <w:szCs w:val="22"/>
        </w:rPr>
        <w:t xml:space="preserve">2009 Fam LR 124 Sheriff McCulloch held, contrary to a wife’s protestations, that parties’ solicitors had reached  agreement and the fact that the wife may well have received poor quality or inadequate legal advice </w:t>
      </w:r>
      <w:r w:rsidR="00B3649D" w:rsidRPr="00D74B8A">
        <w:rPr>
          <w:rFonts w:ascii="Palatino Linotype" w:hAnsi="Palatino Linotype"/>
          <w:sz w:val="22"/>
          <w:szCs w:val="22"/>
        </w:rPr>
        <w:t>at the time and her interests may not have been fully protected, did no</w:t>
      </w:r>
      <w:r w:rsidR="00FD015B">
        <w:rPr>
          <w:rFonts w:ascii="Palatino Linotype" w:hAnsi="Palatino Linotype"/>
          <w:sz w:val="22"/>
          <w:szCs w:val="22"/>
        </w:rPr>
        <w:t>t mean that the agreement was</w:t>
      </w:r>
      <w:r w:rsidR="00B3649D" w:rsidRPr="00D74B8A">
        <w:rPr>
          <w:rFonts w:ascii="Palatino Linotype" w:hAnsi="Palatino Linotype"/>
          <w:sz w:val="22"/>
          <w:szCs w:val="22"/>
        </w:rPr>
        <w:t xml:space="preserve"> unfair or unreasonable.</w:t>
      </w:r>
      <w:r w:rsidR="00AC2F05" w:rsidRPr="00D74B8A">
        <w:rPr>
          <w:rFonts w:ascii="Palatino Linotype" w:hAnsi="Palatino Linotype"/>
          <w:sz w:val="22"/>
          <w:szCs w:val="22"/>
        </w:rPr>
        <w:t xml:space="preserve">  The issue had to be looked at “broadly and having regard to the factors and circumstances prevailing at the time…”</w:t>
      </w:r>
    </w:p>
    <w:p w14:paraId="1647F7FB" w14:textId="77777777" w:rsidR="005A39F3" w:rsidRPr="00D74B8A" w:rsidRDefault="005A39F3" w:rsidP="00D74B8A">
      <w:pPr>
        <w:spacing w:line="360" w:lineRule="auto"/>
        <w:rPr>
          <w:rFonts w:ascii="Palatino Linotype" w:hAnsi="Palatino Linotype"/>
          <w:sz w:val="22"/>
          <w:szCs w:val="22"/>
        </w:rPr>
      </w:pPr>
    </w:p>
    <w:p w14:paraId="2333A13E" w14:textId="08472CBD" w:rsidR="00F454D5" w:rsidRPr="00D74B8A" w:rsidRDefault="00B46FC6" w:rsidP="00D74B8A">
      <w:pPr>
        <w:spacing w:line="360" w:lineRule="auto"/>
        <w:rPr>
          <w:rFonts w:ascii="Palatino Linotype" w:hAnsi="Palatino Linotype"/>
          <w:sz w:val="22"/>
          <w:szCs w:val="22"/>
        </w:rPr>
      </w:pPr>
      <w:r>
        <w:rPr>
          <w:rFonts w:ascii="Palatino Linotype" w:hAnsi="Palatino Linotype"/>
          <w:sz w:val="22"/>
          <w:szCs w:val="22"/>
        </w:rPr>
        <w:t>[6.4</w:t>
      </w:r>
      <w:r w:rsidR="0034164C">
        <w:rPr>
          <w:rFonts w:ascii="Palatino Linotype" w:hAnsi="Palatino Linotype"/>
          <w:sz w:val="22"/>
          <w:szCs w:val="22"/>
        </w:rPr>
        <w:t xml:space="preserve">.2]  </w:t>
      </w:r>
      <w:r w:rsidR="005A39F3" w:rsidRPr="00D74B8A">
        <w:rPr>
          <w:rFonts w:ascii="Palatino Linotype" w:hAnsi="Palatino Linotype"/>
          <w:sz w:val="22"/>
          <w:szCs w:val="22"/>
        </w:rPr>
        <w:t xml:space="preserve">A person cannot, or course, be forced to take legal advice, as emerges from the cautionary tale of </w:t>
      </w:r>
      <w:r w:rsidR="005A39F3" w:rsidRPr="00D74B8A">
        <w:rPr>
          <w:rFonts w:ascii="Palatino Linotype" w:hAnsi="Palatino Linotype"/>
          <w:i/>
          <w:sz w:val="22"/>
          <w:szCs w:val="22"/>
        </w:rPr>
        <w:t xml:space="preserve">Inglis v Inglis </w:t>
      </w:r>
      <w:r w:rsidR="005A39F3" w:rsidRPr="00D74B8A">
        <w:rPr>
          <w:rFonts w:ascii="Palatino Linotype" w:hAnsi="Palatino Linotype"/>
          <w:sz w:val="22"/>
          <w:szCs w:val="22"/>
        </w:rPr>
        <w:t xml:space="preserve">1999 SLT (Sh Ct) 59.  </w:t>
      </w:r>
      <w:r w:rsidR="00F454D5" w:rsidRPr="00D74B8A">
        <w:rPr>
          <w:rFonts w:ascii="Palatino Linotype" w:hAnsi="Palatino Linotype"/>
          <w:sz w:val="22"/>
          <w:szCs w:val="22"/>
        </w:rPr>
        <w:t>In that case both parties approached an Edinburgh solicitor, one Mr K MacAskill.  He distinguished himself by keeping a note of their attendance and that the wife made it clear she did not wish to pursue a claim against her husband’s pension.  After the meeting he wrote to her in very clear terms explaining that she had a potential claim for a capital sum based on her husband’s (unvalued) pension and advising her that if she had any doubts she should take independent legal advice.  He raised this again with her in another letter.  Nevertheless</w:t>
      </w:r>
      <w:r w:rsidR="00C94BDA" w:rsidRPr="00D74B8A">
        <w:rPr>
          <w:rFonts w:ascii="Palatino Linotype" w:hAnsi="Palatino Linotype"/>
          <w:sz w:val="22"/>
          <w:szCs w:val="22"/>
        </w:rPr>
        <w:t>,</w:t>
      </w:r>
      <w:r w:rsidR="00F454D5" w:rsidRPr="00D74B8A">
        <w:rPr>
          <w:rFonts w:ascii="Palatino Linotype" w:hAnsi="Palatino Linotype"/>
          <w:sz w:val="22"/>
          <w:szCs w:val="22"/>
        </w:rPr>
        <w:t xml:space="preserve"> she signed the agreement.  Sheriff Farrell’s comment was, </w:t>
      </w:r>
    </w:p>
    <w:p w14:paraId="1894449C" w14:textId="77777777" w:rsidR="00F454D5" w:rsidRPr="00D74B8A" w:rsidRDefault="00F454D5" w:rsidP="00D74B8A">
      <w:pPr>
        <w:spacing w:line="360" w:lineRule="auto"/>
        <w:ind w:left="720"/>
        <w:rPr>
          <w:rFonts w:ascii="Palatino Linotype" w:hAnsi="Palatino Linotype"/>
          <w:sz w:val="22"/>
          <w:szCs w:val="22"/>
        </w:rPr>
      </w:pPr>
      <w:r w:rsidRPr="00D74B8A">
        <w:rPr>
          <w:rFonts w:ascii="Palatino Linotype" w:hAnsi="Palatino Linotype"/>
          <w:sz w:val="22"/>
          <w:szCs w:val="22"/>
        </w:rPr>
        <w:t xml:space="preserve">“where a mature, intelligent adult in her sane senses, in receipt of the clearest warnings regarding the course of action which she proposes to follow, elects … to enter an agreement which, quite foreseeably, thereafter produced the financial disadvantage which it did in this case, then I see no basis for holding the agreement not to be fair and reasonable at the time it was entered into.”  </w:t>
      </w:r>
    </w:p>
    <w:p w14:paraId="5BD8D332" w14:textId="4FFBB6D7" w:rsidR="005A39F3" w:rsidRPr="00D74B8A" w:rsidRDefault="00F454D5" w:rsidP="00D74B8A">
      <w:pPr>
        <w:spacing w:line="360" w:lineRule="auto"/>
        <w:rPr>
          <w:rFonts w:ascii="Palatino Linotype" w:hAnsi="Palatino Linotype"/>
          <w:sz w:val="22"/>
          <w:szCs w:val="22"/>
        </w:rPr>
      </w:pPr>
      <w:r w:rsidRPr="00D74B8A">
        <w:rPr>
          <w:rFonts w:ascii="Palatino Linotype" w:hAnsi="Palatino Linotype"/>
          <w:sz w:val="22"/>
          <w:szCs w:val="22"/>
        </w:rPr>
        <w:t>The pursuer had renounced her claim in order to achieve the husband’s depa</w:t>
      </w:r>
      <w:r w:rsidR="00C94BDA" w:rsidRPr="00D74B8A">
        <w:rPr>
          <w:rFonts w:ascii="Palatino Linotype" w:hAnsi="Palatino Linotype"/>
          <w:sz w:val="22"/>
          <w:szCs w:val="22"/>
        </w:rPr>
        <w:t>rture from the matrimonial home, so this was not merely a question of legal advice, but the clear warning issued by Mr MacAskill was relevant.</w:t>
      </w:r>
    </w:p>
    <w:p w14:paraId="7932EE8C" w14:textId="77777777" w:rsidR="005A39F3" w:rsidRPr="00D74B8A" w:rsidRDefault="005A39F3" w:rsidP="00D74B8A">
      <w:pPr>
        <w:spacing w:line="360" w:lineRule="auto"/>
        <w:rPr>
          <w:rFonts w:ascii="Palatino Linotype" w:hAnsi="Palatino Linotype"/>
          <w:i/>
          <w:sz w:val="22"/>
          <w:szCs w:val="22"/>
        </w:rPr>
      </w:pPr>
    </w:p>
    <w:p w14:paraId="52D65292" w14:textId="7100F5F3" w:rsidR="00161111" w:rsidRPr="00D74B8A" w:rsidRDefault="00B46FC6" w:rsidP="00D74B8A">
      <w:pPr>
        <w:spacing w:line="360" w:lineRule="auto"/>
        <w:rPr>
          <w:rFonts w:ascii="Palatino Linotype" w:hAnsi="Palatino Linotype"/>
          <w:i/>
          <w:sz w:val="22"/>
          <w:szCs w:val="22"/>
        </w:rPr>
      </w:pPr>
      <w:r>
        <w:rPr>
          <w:rFonts w:ascii="Palatino Linotype" w:hAnsi="Palatino Linotype"/>
          <w:sz w:val="22"/>
          <w:szCs w:val="22"/>
        </w:rPr>
        <w:t>[6.5</w:t>
      </w:r>
      <w:r w:rsidR="0034164C">
        <w:rPr>
          <w:rFonts w:ascii="Palatino Linotype" w:hAnsi="Palatino Linotype"/>
          <w:sz w:val="22"/>
          <w:szCs w:val="22"/>
        </w:rPr>
        <w:t xml:space="preserve">]  </w:t>
      </w:r>
      <w:r w:rsidR="00935094" w:rsidRPr="00D74B8A">
        <w:rPr>
          <w:rFonts w:ascii="Palatino Linotype" w:hAnsi="Palatino Linotype"/>
          <w:i/>
          <w:sz w:val="22"/>
          <w:szCs w:val="22"/>
        </w:rPr>
        <w:t>Are both parties in a fit state to make rational decis</w:t>
      </w:r>
      <w:r w:rsidR="00CF786C" w:rsidRPr="00D74B8A">
        <w:rPr>
          <w:rFonts w:ascii="Palatino Linotype" w:hAnsi="Palatino Linotype"/>
          <w:i/>
          <w:sz w:val="22"/>
          <w:szCs w:val="22"/>
        </w:rPr>
        <w:t>i</w:t>
      </w:r>
      <w:r w:rsidR="00935094" w:rsidRPr="00D74B8A">
        <w:rPr>
          <w:rFonts w:ascii="Palatino Linotype" w:hAnsi="Palatino Linotype"/>
          <w:i/>
          <w:sz w:val="22"/>
          <w:szCs w:val="22"/>
        </w:rPr>
        <w:t>ons</w:t>
      </w:r>
      <w:r w:rsidR="00585EB0" w:rsidRPr="00D74B8A">
        <w:rPr>
          <w:rFonts w:ascii="Palatino Linotype" w:hAnsi="Palatino Linotype"/>
          <w:i/>
          <w:sz w:val="22"/>
          <w:szCs w:val="22"/>
        </w:rPr>
        <w:t>?</w:t>
      </w:r>
    </w:p>
    <w:p w14:paraId="30A6774E" w14:textId="2F5AAF23" w:rsidR="00935094" w:rsidRPr="00D74B8A" w:rsidRDefault="00B46FC6" w:rsidP="00D74B8A">
      <w:pPr>
        <w:spacing w:line="360" w:lineRule="auto"/>
        <w:rPr>
          <w:rFonts w:ascii="Palatino Linotype" w:hAnsi="Palatino Linotype"/>
          <w:sz w:val="22"/>
          <w:szCs w:val="22"/>
        </w:rPr>
      </w:pPr>
      <w:r>
        <w:rPr>
          <w:rFonts w:ascii="Palatino Linotype" w:hAnsi="Palatino Linotype"/>
          <w:sz w:val="22"/>
          <w:szCs w:val="22"/>
        </w:rPr>
        <w:t>[6.5</w:t>
      </w:r>
      <w:r w:rsidR="0034164C">
        <w:rPr>
          <w:rFonts w:ascii="Palatino Linotype" w:hAnsi="Palatino Linotype"/>
          <w:sz w:val="22"/>
          <w:szCs w:val="22"/>
        </w:rPr>
        <w:t xml:space="preserve">.1]  </w:t>
      </w:r>
      <w:r w:rsidR="00585EB0" w:rsidRPr="00D74B8A">
        <w:rPr>
          <w:rFonts w:ascii="Palatino Linotype" w:hAnsi="Palatino Linotype"/>
          <w:sz w:val="22"/>
          <w:szCs w:val="22"/>
        </w:rPr>
        <w:t xml:space="preserve">This is where we move into the small print of section 16 cases.  </w:t>
      </w:r>
      <w:r w:rsidR="005A584C" w:rsidRPr="00D74B8A">
        <w:rPr>
          <w:rFonts w:ascii="Palatino Linotype" w:hAnsi="Palatino Linotype"/>
          <w:sz w:val="22"/>
          <w:szCs w:val="22"/>
        </w:rPr>
        <w:t xml:space="preserve">Aside from cases such as </w:t>
      </w:r>
      <w:r w:rsidR="005A584C" w:rsidRPr="00D74B8A">
        <w:rPr>
          <w:rFonts w:ascii="Palatino Linotype" w:hAnsi="Palatino Linotype"/>
          <w:i/>
          <w:sz w:val="22"/>
          <w:szCs w:val="22"/>
        </w:rPr>
        <w:t xml:space="preserve">MacDonald v MacDonald </w:t>
      </w:r>
      <w:r w:rsidR="005A584C" w:rsidRPr="00D74B8A">
        <w:rPr>
          <w:rFonts w:ascii="Palatino Linotype" w:hAnsi="Palatino Linotype"/>
          <w:sz w:val="22"/>
          <w:szCs w:val="22"/>
        </w:rPr>
        <w:t>2009 FamLR 131 where there was an unacceptable level of coercion, t</w:t>
      </w:r>
      <w:r w:rsidR="00FD015B">
        <w:rPr>
          <w:rFonts w:ascii="Palatino Linotype" w:hAnsi="Palatino Linotype"/>
          <w:sz w:val="22"/>
          <w:szCs w:val="22"/>
        </w:rPr>
        <w:t>here are</w:t>
      </w:r>
      <w:r w:rsidR="00A2735B">
        <w:rPr>
          <w:rFonts w:ascii="Palatino Linotype" w:hAnsi="Palatino Linotype"/>
          <w:sz w:val="22"/>
          <w:szCs w:val="22"/>
        </w:rPr>
        <w:t xml:space="preserve"> only a limited number of</w:t>
      </w:r>
      <w:r w:rsidR="00F61782" w:rsidRPr="00D74B8A">
        <w:rPr>
          <w:rFonts w:ascii="Palatino Linotype" w:hAnsi="Palatino Linotype"/>
          <w:sz w:val="22"/>
          <w:szCs w:val="22"/>
        </w:rPr>
        <w:t xml:space="preserve"> successful applications for setting aside of agreements, but one such was </w:t>
      </w:r>
      <w:r w:rsidR="00F61782" w:rsidRPr="00D74B8A">
        <w:rPr>
          <w:rFonts w:ascii="Palatino Linotype" w:hAnsi="Palatino Linotype"/>
          <w:i/>
          <w:sz w:val="22"/>
          <w:szCs w:val="22"/>
        </w:rPr>
        <w:t xml:space="preserve">Short v Short </w:t>
      </w:r>
      <w:r w:rsidR="00F61782" w:rsidRPr="00D74B8A">
        <w:rPr>
          <w:rFonts w:ascii="Palatino Linotype" w:hAnsi="Palatino Linotype"/>
          <w:sz w:val="22"/>
          <w:szCs w:val="22"/>
        </w:rPr>
        <w:t xml:space="preserve">1994 GWD 21-1300, which again involved Sheriff Farrell.  The wife there had discharged all claims other than aliment pending sale of the </w:t>
      </w:r>
      <w:r w:rsidR="00F61782" w:rsidRPr="00D74B8A">
        <w:rPr>
          <w:rFonts w:ascii="Palatino Linotype" w:hAnsi="Palatino Linotype"/>
          <w:sz w:val="22"/>
          <w:szCs w:val="22"/>
        </w:rPr>
        <w:lastRenderedPageBreak/>
        <w:t xml:space="preserve">matrimonial home, but she was suffering from a depressive illness to such a degree that it amounted to a nervous breakdown.  She had not been in a fit state to make rational decisions </w:t>
      </w:r>
      <w:r w:rsidR="00582949" w:rsidRPr="00D74B8A">
        <w:rPr>
          <w:rFonts w:ascii="Palatino Linotype" w:hAnsi="Palatino Linotype"/>
          <w:sz w:val="22"/>
          <w:szCs w:val="22"/>
        </w:rPr>
        <w:t>on important matters.  And the legal advice offered to her had been “poor”</w:t>
      </w:r>
      <w:r w:rsidR="00935094" w:rsidRPr="00D74B8A">
        <w:rPr>
          <w:rFonts w:ascii="Palatino Linotype" w:hAnsi="Palatino Linotype"/>
          <w:sz w:val="22"/>
          <w:szCs w:val="22"/>
        </w:rPr>
        <w:t xml:space="preserve">.  She was awarded a capital sum.  There was a similar result in </w:t>
      </w:r>
      <w:r w:rsidR="00935094" w:rsidRPr="00D74B8A">
        <w:rPr>
          <w:rFonts w:ascii="Palatino Linotype" w:hAnsi="Palatino Linotype"/>
          <w:i/>
          <w:sz w:val="22"/>
          <w:szCs w:val="22"/>
        </w:rPr>
        <w:t xml:space="preserve">MacDonald v MacDonald </w:t>
      </w:r>
      <w:r w:rsidR="00935094" w:rsidRPr="00D74B8A">
        <w:rPr>
          <w:rFonts w:ascii="Palatino Linotype" w:hAnsi="Palatino Linotype"/>
          <w:sz w:val="22"/>
          <w:szCs w:val="22"/>
        </w:rPr>
        <w:t>2002 GWD 22-721, reported only in relation to the effect of failure to seek leave to appeal.  The wife in that case had been seriously unwell and in no fit state to make decisions.</w:t>
      </w:r>
      <w:r w:rsidR="002F0C10" w:rsidRPr="00D74B8A">
        <w:rPr>
          <w:rFonts w:ascii="Palatino Linotype" w:hAnsi="Palatino Linotype"/>
          <w:sz w:val="22"/>
          <w:szCs w:val="22"/>
        </w:rPr>
        <w:t xml:space="preserve">  </w:t>
      </w:r>
      <w:r w:rsidR="00CD6DD9" w:rsidRPr="00D74B8A">
        <w:rPr>
          <w:rFonts w:ascii="Palatino Linotype" w:hAnsi="Palatino Linotype"/>
          <w:sz w:val="22"/>
          <w:szCs w:val="22"/>
        </w:rPr>
        <w:t>However, a</w:t>
      </w:r>
      <w:r w:rsidR="002F0C10" w:rsidRPr="00D74B8A">
        <w:rPr>
          <w:rFonts w:ascii="Palatino Linotype" w:hAnsi="Palatino Linotype"/>
          <w:sz w:val="22"/>
          <w:szCs w:val="22"/>
        </w:rPr>
        <w:t xml:space="preserve"> moderate depressive illness that affects concentration and memory may not, of itself, be decisive, </w:t>
      </w:r>
      <w:r w:rsidR="00CD6DD9" w:rsidRPr="00D74B8A">
        <w:rPr>
          <w:rFonts w:ascii="Palatino Linotype" w:hAnsi="Palatino Linotype"/>
          <w:sz w:val="22"/>
          <w:szCs w:val="22"/>
        </w:rPr>
        <w:t>particularly where a</w:t>
      </w:r>
      <w:r w:rsidR="002F0C10" w:rsidRPr="00D74B8A">
        <w:rPr>
          <w:rFonts w:ascii="Palatino Linotype" w:hAnsi="Palatino Linotype"/>
          <w:sz w:val="22"/>
          <w:szCs w:val="22"/>
        </w:rPr>
        <w:t xml:space="preserve"> party has received good legal advice </w:t>
      </w:r>
      <w:r w:rsidR="00CD6DD9" w:rsidRPr="00D74B8A">
        <w:rPr>
          <w:rFonts w:ascii="Palatino Linotype" w:hAnsi="Palatino Linotype"/>
          <w:sz w:val="22"/>
          <w:szCs w:val="22"/>
        </w:rPr>
        <w:t xml:space="preserve">and is fully aware of the consequences of his or her actions </w:t>
      </w:r>
      <w:r w:rsidR="002F0C10" w:rsidRPr="00D74B8A">
        <w:rPr>
          <w:rFonts w:ascii="Palatino Linotype" w:hAnsi="Palatino Linotype"/>
          <w:sz w:val="22"/>
          <w:szCs w:val="22"/>
        </w:rPr>
        <w:t xml:space="preserve">(see </w:t>
      </w:r>
      <w:r w:rsidR="002F0C10" w:rsidRPr="00D74B8A">
        <w:rPr>
          <w:rFonts w:ascii="Palatino Linotype" w:hAnsi="Palatino Linotype"/>
          <w:i/>
          <w:sz w:val="22"/>
          <w:szCs w:val="22"/>
        </w:rPr>
        <w:t>Anderson v Anderson</w:t>
      </w:r>
      <w:r w:rsidR="00CD6DD9" w:rsidRPr="00D74B8A">
        <w:rPr>
          <w:rFonts w:ascii="Palatino Linotype" w:hAnsi="Palatino Linotype"/>
          <w:i/>
          <w:sz w:val="22"/>
          <w:szCs w:val="22"/>
        </w:rPr>
        <w:t xml:space="preserve"> </w:t>
      </w:r>
      <w:r w:rsidR="00CD6DD9" w:rsidRPr="00D74B8A">
        <w:rPr>
          <w:rFonts w:ascii="Palatino Linotype" w:hAnsi="Palatino Linotype"/>
          <w:sz w:val="22"/>
          <w:szCs w:val="22"/>
        </w:rPr>
        <w:t>2015 SC GLA 65</w:t>
      </w:r>
      <w:r w:rsidR="005A584C" w:rsidRPr="00D74B8A">
        <w:rPr>
          <w:rFonts w:ascii="Palatino Linotype" w:hAnsi="Palatino Linotype"/>
          <w:sz w:val="22"/>
          <w:szCs w:val="22"/>
        </w:rPr>
        <w:t xml:space="preserve">).  </w:t>
      </w:r>
    </w:p>
    <w:p w14:paraId="0DCB2EC0" w14:textId="77777777" w:rsidR="00391674" w:rsidRPr="00D74B8A" w:rsidRDefault="00391674" w:rsidP="00D74B8A">
      <w:pPr>
        <w:spacing w:line="360" w:lineRule="auto"/>
        <w:rPr>
          <w:rFonts w:ascii="Palatino Linotype" w:hAnsi="Palatino Linotype"/>
          <w:sz w:val="22"/>
          <w:szCs w:val="22"/>
        </w:rPr>
      </w:pPr>
    </w:p>
    <w:p w14:paraId="311052AD" w14:textId="311669C4" w:rsidR="00FD015B" w:rsidRDefault="00B46FC6" w:rsidP="00D74B8A">
      <w:pPr>
        <w:spacing w:line="360" w:lineRule="auto"/>
        <w:rPr>
          <w:rFonts w:ascii="Palatino Linotype" w:hAnsi="Palatino Linotype"/>
          <w:sz w:val="22"/>
          <w:szCs w:val="22"/>
        </w:rPr>
      </w:pPr>
      <w:r>
        <w:rPr>
          <w:rFonts w:ascii="Palatino Linotype" w:hAnsi="Palatino Linotype"/>
          <w:sz w:val="22"/>
          <w:szCs w:val="22"/>
        </w:rPr>
        <w:t>[6.5</w:t>
      </w:r>
      <w:r w:rsidR="0034164C">
        <w:rPr>
          <w:rFonts w:ascii="Palatino Linotype" w:hAnsi="Palatino Linotype"/>
          <w:sz w:val="22"/>
          <w:szCs w:val="22"/>
        </w:rPr>
        <w:t xml:space="preserve">.2]  </w:t>
      </w:r>
      <w:r w:rsidR="00935094" w:rsidRPr="00D74B8A">
        <w:rPr>
          <w:rFonts w:ascii="Palatino Linotype" w:hAnsi="Palatino Linotype"/>
          <w:sz w:val="22"/>
          <w:szCs w:val="22"/>
        </w:rPr>
        <w:t xml:space="preserve">While the same principle could apply to pre-nuptial agreements, the reason for lack of rationality may be quite different. </w:t>
      </w:r>
      <w:r w:rsidR="00A37E01">
        <w:rPr>
          <w:rFonts w:ascii="Palatino Linotype" w:hAnsi="Palatino Linotype"/>
          <w:sz w:val="22"/>
          <w:szCs w:val="22"/>
        </w:rPr>
        <w:t xml:space="preserve"> When a preliminary proof was first allowed in </w:t>
      </w:r>
      <w:r w:rsidR="00A37E01">
        <w:rPr>
          <w:rFonts w:ascii="Palatino Linotype" w:hAnsi="Palatino Linotype"/>
          <w:i/>
          <w:sz w:val="22"/>
          <w:szCs w:val="22"/>
        </w:rPr>
        <w:t>Gillon v Gillon</w:t>
      </w:r>
      <w:r w:rsidR="000A6D9E">
        <w:rPr>
          <w:rFonts w:ascii="Palatino Linotype" w:hAnsi="Palatino Linotype"/>
          <w:i/>
          <w:sz w:val="22"/>
          <w:szCs w:val="22"/>
        </w:rPr>
        <w:t xml:space="preserve"> (No 1)</w:t>
      </w:r>
      <w:r w:rsidR="00A37E01">
        <w:rPr>
          <w:rFonts w:ascii="Palatino Linotype" w:hAnsi="Palatino Linotype"/>
          <w:i/>
          <w:sz w:val="22"/>
          <w:szCs w:val="22"/>
        </w:rPr>
        <w:t xml:space="preserve"> </w:t>
      </w:r>
      <w:r w:rsidR="00AC66BB">
        <w:rPr>
          <w:rFonts w:ascii="Palatino Linotype" w:hAnsi="Palatino Linotype"/>
          <w:sz w:val="22"/>
          <w:szCs w:val="22"/>
        </w:rPr>
        <w:t xml:space="preserve">Lord Penrose said that it would be appropriate to look at all the circumstances prior to and at the time the agreement was entered into and relevant to its negotiation and execution to see whether there was some unfair or unconscionable advantage taken of some factor or some relationship between the parties. </w:t>
      </w:r>
      <w:r w:rsidR="00DF1181">
        <w:rPr>
          <w:rFonts w:ascii="Palatino Linotype" w:hAnsi="Palatino Linotype"/>
          <w:sz w:val="22"/>
          <w:szCs w:val="22"/>
        </w:rPr>
        <w:t xml:space="preserve"> This involves the court considering whether the agreement was not truly entered </w:t>
      </w:r>
      <w:r w:rsidR="00A2735B">
        <w:rPr>
          <w:rFonts w:ascii="Palatino Linotype" w:hAnsi="Palatino Linotype"/>
          <w:sz w:val="22"/>
          <w:szCs w:val="22"/>
        </w:rPr>
        <w:t>into by one party or</w:t>
      </w:r>
      <w:r w:rsidR="00DF1181">
        <w:rPr>
          <w:rFonts w:ascii="Palatino Linotype" w:hAnsi="Palatino Linotype"/>
          <w:sz w:val="22"/>
          <w:szCs w:val="22"/>
        </w:rPr>
        <w:t xml:space="preserve"> the other as a free agent.</w:t>
      </w:r>
      <w:r w:rsidR="00AC66BB">
        <w:rPr>
          <w:rFonts w:ascii="Palatino Linotype" w:hAnsi="Palatino Linotype"/>
          <w:sz w:val="22"/>
          <w:szCs w:val="22"/>
        </w:rPr>
        <w:t xml:space="preserve"> </w:t>
      </w:r>
      <w:r w:rsidR="00935094" w:rsidRPr="00D74B8A">
        <w:rPr>
          <w:rFonts w:ascii="Palatino Linotype" w:hAnsi="Palatino Linotype"/>
          <w:sz w:val="22"/>
          <w:szCs w:val="22"/>
        </w:rPr>
        <w:t xml:space="preserve"> </w:t>
      </w:r>
    </w:p>
    <w:p w14:paraId="77CAFAD3" w14:textId="77777777" w:rsidR="00FD015B" w:rsidRDefault="00FD015B" w:rsidP="00D74B8A">
      <w:pPr>
        <w:spacing w:line="360" w:lineRule="auto"/>
        <w:rPr>
          <w:rFonts w:ascii="Palatino Linotype" w:hAnsi="Palatino Linotype"/>
          <w:sz w:val="22"/>
          <w:szCs w:val="22"/>
        </w:rPr>
      </w:pPr>
    </w:p>
    <w:p w14:paraId="0BD88E6D" w14:textId="0C2FA5BC" w:rsidR="0034164C" w:rsidRDefault="00B46FC6" w:rsidP="00D74B8A">
      <w:pPr>
        <w:spacing w:line="360" w:lineRule="auto"/>
        <w:rPr>
          <w:rFonts w:ascii="Palatino Linotype" w:hAnsi="Palatino Linotype"/>
          <w:sz w:val="22"/>
          <w:szCs w:val="22"/>
        </w:rPr>
      </w:pPr>
      <w:r>
        <w:rPr>
          <w:rFonts w:ascii="Palatino Linotype" w:hAnsi="Palatino Linotype"/>
          <w:sz w:val="22"/>
          <w:szCs w:val="22"/>
        </w:rPr>
        <w:t>[6.5</w:t>
      </w:r>
      <w:r w:rsidR="0034164C">
        <w:rPr>
          <w:rFonts w:ascii="Palatino Linotype" w:hAnsi="Palatino Linotype"/>
          <w:sz w:val="22"/>
          <w:szCs w:val="22"/>
        </w:rPr>
        <w:t xml:space="preserve">.3]  </w:t>
      </w:r>
      <w:r w:rsidR="00935094" w:rsidRPr="00D74B8A">
        <w:rPr>
          <w:rFonts w:ascii="Palatino Linotype" w:hAnsi="Palatino Linotype"/>
          <w:sz w:val="22"/>
          <w:szCs w:val="22"/>
        </w:rPr>
        <w:t xml:space="preserve">It would be interesting to argue that one side was blinded by love, but the argument might </w:t>
      </w:r>
      <w:r w:rsidR="00FD015B">
        <w:rPr>
          <w:rFonts w:ascii="Palatino Linotype" w:hAnsi="Palatino Linotype"/>
          <w:sz w:val="22"/>
          <w:szCs w:val="22"/>
        </w:rPr>
        <w:t xml:space="preserve">have to </w:t>
      </w:r>
      <w:r w:rsidR="00935094" w:rsidRPr="00D74B8A">
        <w:rPr>
          <w:rFonts w:ascii="Palatino Linotype" w:hAnsi="Palatino Linotype"/>
          <w:sz w:val="22"/>
          <w:szCs w:val="22"/>
        </w:rPr>
        <w:t xml:space="preserve">be much more practical.  If </w:t>
      </w:r>
      <w:r w:rsidR="0025466D" w:rsidRPr="00D74B8A">
        <w:rPr>
          <w:rFonts w:ascii="Palatino Linotype" w:hAnsi="Palatino Linotype"/>
          <w:sz w:val="22"/>
          <w:szCs w:val="22"/>
        </w:rPr>
        <w:t xml:space="preserve">the </w:t>
      </w:r>
      <w:r w:rsidR="00935094" w:rsidRPr="00D74B8A">
        <w:rPr>
          <w:rFonts w:ascii="Palatino Linotype" w:hAnsi="Palatino Linotype"/>
          <w:sz w:val="22"/>
          <w:szCs w:val="22"/>
        </w:rPr>
        <w:t xml:space="preserve">wedding </w:t>
      </w:r>
      <w:r w:rsidR="0025466D" w:rsidRPr="00D74B8A">
        <w:rPr>
          <w:rFonts w:ascii="Palatino Linotype" w:hAnsi="Palatino Linotype"/>
          <w:sz w:val="22"/>
          <w:szCs w:val="22"/>
        </w:rPr>
        <w:t>announcement has been made, the dress purchased and the reception and honeymoon booked, then it may be e</w:t>
      </w:r>
      <w:r w:rsidR="00935094" w:rsidRPr="00D74B8A">
        <w:rPr>
          <w:rFonts w:ascii="Palatino Linotype" w:hAnsi="Palatino Linotype"/>
          <w:sz w:val="22"/>
          <w:szCs w:val="22"/>
        </w:rPr>
        <w:t>xtremely difficult to reject a pre-nuptial</w:t>
      </w:r>
      <w:r w:rsidR="0025466D" w:rsidRPr="00D74B8A">
        <w:rPr>
          <w:rFonts w:ascii="Palatino Linotype" w:hAnsi="Palatino Linotype"/>
          <w:sz w:val="22"/>
          <w:szCs w:val="22"/>
        </w:rPr>
        <w:t xml:space="preserve"> agreement.  Timing may be highly significant.  Every effort should be made to deal with an agreement well in advance of the wedding.  </w:t>
      </w:r>
      <w:r w:rsidR="00CF786C" w:rsidRPr="00D74B8A">
        <w:rPr>
          <w:rFonts w:ascii="Palatino Linotype" w:hAnsi="Palatino Linotype"/>
          <w:sz w:val="22"/>
          <w:szCs w:val="22"/>
        </w:rPr>
        <w:t>That said, in my experience n</w:t>
      </w:r>
      <w:r w:rsidR="0025466D" w:rsidRPr="00D74B8A">
        <w:rPr>
          <w:rFonts w:ascii="Palatino Linotype" w:hAnsi="Palatino Linotype"/>
          <w:sz w:val="22"/>
          <w:szCs w:val="22"/>
        </w:rPr>
        <w:t>egotiations have a habit of extending to fill the time available and it may be possible to say that the issue of a pre-nuptial agreement was broached well in advance, with plenty of opportunity to delay or cancel the wedding</w:t>
      </w:r>
      <w:r w:rsidR="00CF786C" w:rsidRPr="00D74B8A">
        <w:rPr>
          <w:rFonts w:ascii="Palatino Linotype" w:hAnsi="Palatino Linotype"/>
          <w:sz w:val="22"/>
          <w:szCs w:val="22"/>
        </w:rPr>
        <w:t>. T</w:t>
      </w:r>
      <w:r w:rsidR="0025466D" w:rsidRPr="00D74B8A">
        <w:rPr>
          <w:rFonts w:ascii="Palatino Linotype" w:hAnsi="Palatino Linotype"/>
          <w:sz w:val="22"/>
          <w:szCs w:val="22"/>
        </w:rPr>
        <w:t>he argument may not be attractive.  It will all depend on the circumstances.</w:t>
      </w:r>
    </w:p>
    <w:p w14:paraId="0DDC93C3" w14:textId="77777777" w:rsidR="0034164C" w:rsidRPr="00D74B8A" w:rsidRDefault="0034164C" w:rsidP="00D74B8A">
      <w:pPr>
        <w:spacing w:line="360" w:lineRule="auto"/>
        <w:rPr>
          <w:rFonts w:ascii="Palatino Linotype" w:hAnsi="Palatino Linotype"/>
          <w:sz w:val="22"/>
          <w:szCs w:val="22"/>
        </w:rPr>
      </w:pPr>
    </w:p>
    <w:p w14:paraId="3201F2D9" w14:textId="17180105" w:rsidR="00BE6A33" w:rsidRPr="00D74B8A" w:rsidRDefault="0034164C" w:rsidP="00D74B8A">
      <w:pPr>
        <w:spacing w:line="360" w:lineRule="auto"/>
        <w:rPr>
          <w:rFonts w:ascii="Palatino Linotype" w:hAnsi="Palatino Linotype"/>
          <w:b/>
          <w:sz w:val="22"/>
          <w:szCs w:val="22"/>
        </w:rPr>
      </w:pPr>
      <w:r>
        <w:rPr>
          <w:rFonts w:ascii="Palatino Linotype" w:hAnsi="Palatino Linotype"/>
          <w:b/>
          <w:sz w:val="22"/>
          <w:szCs w:val="22"/>
        </w:rPr>
        <w:t xml:space="preserve">[7]  </w:t>
      </w:r>
      <w:r w:rsidR="00232306" w:rsidRPr="00D74B8A">
        <w:rPr>
          <w:rFonts w:ascii="Palatino Linotype" w:hAnsi="Palatino Linotype"/>
          <w:b/>
          <w:sz w:val="22"/>
          <w:szCs w:val="22"/>
        </w:rPr>
        <w:t>C</w:t>
      </w:r>
      <w:r w:rsidR="00FF341B" w:rsidRPr="00D74B8A">
        <w:rPr>
          <w:rFonts w:ascii="Palatino Linotype" w:hAnsi="Palatino Linotype"/>
          <w:b/>
          <w:sz w:val="22"/>
          <w:szCs w:val="22"/>
        </w:rPr>
        <w:t>ross-border issues</w:t>
      </w:r>
    </w:p>
    <w:p w14:paraId="24678F86" w14:textId="7CC3FB64" w:rsidR="00B0587E" w:rsidRPr="00D74B8A" w:rsidRDefault="0034164C" w:rsidP="00D74B8A">
      <w:pPr>
        <w:spacing w:line="360" w:lineRule="auto"/>
        <w:rPr>
          <w:rFonts w:ascii="Palatino Linotype" w:hAnsi="Palatino Linotype"/>
          <w:sz w:val="22"/>
          <w:szCs w:val="22"/>
        </w:rPr>
      </w:pPr>
      <w:r>
        <w:rPr>
          <w:rFonts w:ascii="Palatino Linotype" w:hAnsi="Palatino Linotype"/>
          <w:sz w:val="22"/>
          <w:szCs w:val="22"/>
        </w:rPr>
        <w:t xml:space="preserve">[7.1]  </w:t>
      </w:r>
      <w:r w:rsidR="00CB5C02" w:rsidRPr="00D74B8A">
        <w:rPr>
          <w:rFonts w:ascii="Palatino Linotype" w:hAnsi="Palatino Linotype"/>
          <w:sz w:val="22"/>
          <w:szCs w:val="22"/>
        </w:rPr>
        <w:t>Not all jurisdictions have the same approach to pre-nuptial agreements</w:t>
      </w:r>
      <w:r w:rsidR="009D3FA8" w:rsidRPr="00D74B8A">
        <w:rPr>
          <w:rFonts w:ascii="Palatino Linotype" w:hAnsi="Palatino Linotype"/>
          <w:sz w:val="22"/>
          <w:szCs w:val="22"/>
        </w:rPr>
        <w:t xml:space="preserve">.  In particular the English have had a significantly different approach. </w:t>
      </w:r>
      <w:r w:rsidR="00BB221F" w:rsidRPr="00D74B8A">
        <w:rPr>
          <w:rFonts w:ascii="Palatino Linotype" w:hAnsi="Palatino Linotype"/>
          <w:sz w:val="22"/>
          <w:szCs w:val="22"/>
        </w:rPr>
        <w:t xml:space="preserve">Pre-nuptial agreements that </w:t>
      </w:r>
      <w:r w:rsidR="00BB221F" w:rsidRPr="00D74B8A">
        <w:rPr>
          <w:rFonts w:ascii="Palatino Linotype" w:hAnsi="Palatino Linotype"/>
          <w:sz w:val="22"/>
          <w:szCs w:val="22"/>
        </w:rPr>
        <w:lastRenderedPageBreak/>
        <w:t>provided for the contingency of separation were historically viewed as contrary to public policy.  It is still not possible to oust the jurisdiction of th</w:t>
      </w:r>
      <w:r w:rsidR="00FD015B">
        <w:rPr>
          <w:rFonts w:ascii="Palatino Linotype" w:hAnsi="Palatino Linotype"/>
          <w:sz w:val="22"/>
          <w:szCs w:val="22"/>
        </w:rPr>
        <w:t>e court to make anci</w:t>
      </w:r>
      <w:r w:rsidR="00BB221F" w:rsidRPr="00D74B8A">
        <w:rPr>
          <w:rFonts w:ascii="Palatino Linotype" w:hAnsi="Palatino Linotype"/>
          <w:sz w:val="22"/>
          <w:szCs w:val="22"/>
        </w:rPr>
        <w:t>ll</w:t>
      </w:r>
      <w:r w:rsidR="00FD015B">
        <w:rPr>
          <w:rFonts w:ascii="Palatino Linotype" w:hAnsi="Palatino Linotype"/>
          <w:sz w:val="22"/>
          <w:szCs w:val="22"/>
        </w:rPr>
        <w:t>a</w:t>
      </w:r>
      <w:r w:rsidR="00BB221F" w:rsidRPr="00D74B8A">
        <w:rPr>
          <w:rFonts w:ascii="Palatino Linotype" w:hAnsi="Palatino Linotype"/>
          <w:sz w:val="22"/>
          <w:szCs w:val="22"/>
        </w:rPr>
        <w:t>ry financial provision on dissolution of a marriage.</w:t>
      </w:r>
      <w:r w:rsidR="009D3FA8" w:rsidRPr="00D74B8A">
        <w:rPr>
          <w:rFonts w:ascii="Palatino Linotype" w:hAnsi="Palatino Linotype"/>
          <w:sz w:val="22"/>
          <w:szCs w:val="22"/>
        </w:rPr>
        <w:t xml:space="preserve"> This was explored by the UK Supreme Court in </w:t>
      </w:r>
      <w:r w:rsidR="009D3FA8" w:rsidRPr="00D74B8A">
        <w:rPr>
          <w:rFonts w:ascii="Palatino Linotype" w:hAnsi="Palatino Linotype"/>
          <w:i/>
          <w:sz w:val="22"/>
          <w:szCs w:val="22"/>
        </w:rPr>
        <w:t xml:space="preserve">Radmacher v Granatino </w:t>
      </w:r>
      <w:r w:rsidR="00C40BA7" w:rsidRPr="00D74B8A">
        <w:rPr>
          <w:rFonts w:ascii="Palatino Linotype" w:hAnsi="Palatino Linotype"/>
          <w:sz w:val="22"/>
          <w:szCs w:val="22"/>
        </w:rPr>
        <w:t>[2011] 1 AC 534.  The Court came to the conclusion that pre-nuptial agreements should be given weight in affording ancillary relief.  To carry full weight the parties must enter i</w:t>
      </w:r>
      <w:r w:rsidR="00D20F3A" w:rsidRPr="00D74B8A">
        <w:rPr>
          <w:rFonts w:ascii="Palatino Linotype" w:hAnsi="Palatino Linotype"/>
          <w:sz w:val="22"/>
          <w:szCs w:val="22"/>
        </w:rPr>
        <w:t>nto an agreement</w:t>
      </w:r>
      <w:r w:rsidR="00C40BA7" w:rsidRPr="00D74B8A">
        <w:rPr>
          <w:rFonts w:ascii="Palatino Linotype" w:hAnsi="Palatino Linotype"/>
          <w:sz w:val="22"/>
          <w:szCs w:val="22"/>
        </w:rPr>
        <w:t xml:space="preserve"> of their own free will, without undue influence or pressure and informed of its implications.  These considerations are not dissimilar to the test under section 16, but they relate to whether and how the agreement should be implemented, not the very different issue of whether it should be set aside.</w:t>
      </w:r>
      <w:r w:rsidR="00D37D3C" w:rsidRPr="00D74B8A">
        <w:rPr>
          <w:rFonts w:ascii="Palatino Linotype" w:hAnsi="Palatino Linotype"/>
          <w:sz w:val="22"/>
          <w:szCs w:val="22"/>
        </w:rPr>
        <w:t xml:space="preserve">  The </w:t>
      </w:r>
      <w:r w:rsidR="00CB040D" w:rsidRPr="00D74B8A">
        <w:rPr>
          <w:rFonts w:ascii="Palatino Linotype" w:hAnsi="Palatino Linotype"/>
          <w:sz w:val="22"/>
          <w:szCs w:val="22"/>
        </w:rPr>
        <w:t xml:space="preserve">English </w:t>
      </w:r>
      <w:r w:rsidR="00D37D3C" w:rsidRPr="00D74B8A">
        <w:rPr>
          <w:rFonts w:ascii="Palatino Linotype" w:hAnsi="Palatino Linotype"/>
          <w:sz w:val="22"/>
          <w:szCs w:val="22"/>
        </w:rPr>
        <w:t xml:space="preserve">court may still </w:t>
      </w:r>
      <w:r w:rsidR="00A2735B">
        <w:rPr>
          <w:rFonts w:ascii="Palatino Linotype" w:hAnsi="Palatino Linotype"/>
          <w:sz w:val="22"/>
          <w:szCs w:val="22"/>
        </w:rPr>
        <w:t xml:space="preserve">grant ancillary relief to </w:t>
      </w:r>
      <w:r w:rsidR="00D37D3C" w:rsidRPr="00D74B8A">
        <w:rPr>
          <w:rFonts w:ascii="Palatino Linotype" w:hAnsi="Palatino Linotype"/>
          <w:sz w:val="22"/>
          <w:szCs w:val="22"/>
        </w:rPr>
        <w:t>address issues of need and ‘compensation’ for economic advantage and disadvantage</w:t>
      </w:r>
      <w:r w:rsidR="00FD015B">
        <w:rPr>
          <w:rFonts w:ascii="Palatino Linotype" w:hAnsi="Palatino Linotype"/>
          <w:sz w:val="22"/>
          <w:szCs w:val="22"/>
        </w:rPr>
        <w:t>, notwithstanding a pre-nuptial agreement</w:t>
      </w:r>
      <w:r w:rsidR="00D37D3C" w:rsidRPr="00D74B8A">
        <w:rPr>
          <w:rFonts w:ascii="Palatino Linotype" w:hAnsi="Palatino Linotype"/>
          <w:sz w:val="22"/>
          <w:szCs w:val="22"/>
        </w:rPr>
        <w:t>.</w:t>
      </w:r>
      <w:r w:rsidR="00CB040D" w:rsidRPr="00D74B8A">
        <w:rPr>
          <w:rFonts w:ascii="Palatino Linotype" w:hAnsi="Palatino Linotype"/>
          <w:sz w:val="22"/>
          <w:szCs w:val="22"/>
        </w:rPr>
        <w:t xml:space="preserve">  </w:t>
      </w:r>
    </w:p>
    <w:p w14:paraId="0F84F416" w14:textId="77777777" w:rsidR="00B0587E" w:rsidRPr="00D74B8A" w:rsidRDefault="00B0587E" w:rsidP="00D74B8A">
      <w:pPr>
        <w:spacing w:line="360" w:lineRule="auto"/>
        <w:rPr>
          <w:rFonts w:ascii="Palatino Linotype" w:hAnsi="Palatino Linotype"/>
          <w:sz w:val="22"/>
          <w:szCs w:val="22"/>
        </w:rPr>
      </w:pPr>
    </w:p>
    <w:p w14:paraId="4FDC48EC" w14:textId="77F04712" w:rsidR="00176B5F" w:rsidRPr="00D74B8A" w:rsidRDefault="0034164C" w:rsidP="00D74B8A">
      <w:pPr>
        <w:spacing w:line="360" w:lineRule="auto"/>
        <w:rPr>
          <w:rFonts w:ascii="Palatino Linotype" w:hAnsi="Palatino Linotype"/>
          <w:sz w:val="22"/>
          <w:szCs w:val="22"/>
        </w:rPr>
      </w:pPr>
      <w:r>
        <w:rPr>
          <w:rFonts w:ascii="Palatino Linotype" w:hAnsi="Palatino Linotype"/>
          <w:sz w:val="22"/>
          <w:szCs w:val="22"/>
        </w:rPr>
        <w:t xml:space="preserve">[7.2]  </w:t>
      </w:r>
      <w:r w:rsidR="00CB040D" w:rsidRPr="00D74B8A">
        <w:rPr>
          <w:rFonts w:ascii="Palatino Linotype" w:hAnsi="Palatino Linotype"/>
          <w:sz w:val="22"/>
          <w:szCs w:val="22"/>
        </w:rPr>
        <w:t>If the parties are eventually divorced in England, then English law will apply.</w:t>
      </w:r>
      <w:r w:rsidR="00B0587E" w:rsidRPr="00D74B8A">
        <w:rPr>
          <w:rFonts w:ascii="Palatino Linotype" w:hAnsi="Palatino Linotype"/>
          <w:sz w:val="22"/>
          <w:szCs w:val="22"/>
        </w:rPr>
        <w:t xml:space="preserve">  There are potential steps that can, at the moment, be taken to try and have </w:t>
      </w:r>
      <w:r w:rsidR="00FD015B">
        <w:rPr>
          <w:rFonts w:ascii="Palatino Linotype" w:hAnsi="Palatino Linotype"/>
          <w:sz w:val="22"/>
          <w:szCs w:val="22"/>
        </w:rPr>
        <w:t>Scots law applied.  The first may be</w:t>
      </w:r>
      <w:r w:rsidR="00B0587E" w:rsidRPr="00D74B8A">
        <w:rPr>
          <w:rFonts w:ascii="Palatino Linotype" w:hAnsi="Palatino Linotype"/>
          <w:sz w:val="22"/>
          <w:szCs w:val="22"/>
        </w:rPr>
        <w:t xml:space="preserve"> to insert a “choice of court” agreement.  This is not binding in relation to divorce, but is binding on the issue of “maintenance” as Council Regulation (EU) no 4/2009 (the Maintenance Regulation) is binding between England and Scotland by virtue of </w:t>
      </w:r>
      <w:r w:rsidR="000D055B" w:rsidRPr="00D74B8A">
        <w:rPr>
          <w:rFonts w:ascii="Palatino Linotype" w:hAnsi="Palatino Linotype"/>
          <w:sz w:val="22"/>
          <w:szCs w:val="22"/>
        </w:rPr>
        <w:t>the Civil Jurisdiction and Judgments (Maintenance) Regulations 2011 (SI 2011/1484).  If the parties agree that maintenance shall be determined by the</w:t>
      </w:r>
      <w:r w:rsidR="00176B5F" w:rsidRPr="00D74B8A">
        <w:rPr>
          <w:rFonts w:ascii="Palatino Linotype" w:hAnsi="Palatino Linotype"/>
          <w:sz w:val="22"/>
          <w:szCs w:val="22"/>
        </w:rPr>
        <w:t xml:space="preserve"> Scottish courts, then </w:t>
      </w:r>
      <w:r w:rsidR="00A2735B">
        <w:rPr>
          <w:rFonts w:ascii="Palatino Linotype" w:hAnsi="Palatino Linotype"/>
          <w:sz w:val="22"/>
          <w:szCs w:val="22"/>
        </w:rPr>
        <w:t>the Scottish courts will have exclusive jurisdiction under article 4</w:t>
      </w:r>
      <w:r w:rsidR="00700260">
        <w:rPr>
          <w:rFonts w:ascii="Palatino Linotype" w:hAnsi="Palatino Linotype"/>
          <w:sz w:val="22"/>
          <w:szCs w:val="22"/>
        </w:rPr>
        <w:t xml:space="preserve"> (provided the relevant connecting factors </w:t>
      </w:r>
      <w:r w:rsidR="00DB0B53">
        <w:rPr>
          <w:rFonts w:ascii="Palatino Linotype" w:hAnsi="Palatino Linotype"/>
          <w:sz w:val="22"/>
          <w:szCs w:val="22"/>
        </w:rPr>
        <w:t xml:space="preserve">and other conditions </w:t>
      </w:r>
      <w:r w:rsidR="00700260">
        <w:rPr>
          <w:rFonts w:ascii="Palatino Linotype" w:hAnsi="Palatino Linotype"/>
          <w:sz w:val="22"/>
          <w:szCs w:val="22"/>
        </w:rPr>
        <w:t>are present)</w:t>
      </w:r>
      <w:r w:rsidR="00176B5F" w:rsidRPr="00D74B8A">
        <w:rPr>
          <w:rFonts w:ascii="Palatino Linotype" w:hAnsi="Palatino Linotype"/>
          <w:sz w:val="22"/>
          <w:szCs w:val="22"/>
        </w:rPr>
        <w:t>.  Maintenance covers all awards designed to enable a spouse to provide for himself or herself, or taking into consideration the needs and resources of each of the spouses, even if payable in the form of a lump sum or constituted as a transfer of property order (</w:t>
      </w:r>
      <w:r w:rsidR="00176B5F" w:rsidRPr="00D74B8A">
        <w:rPr>
          <w:rFonts w:ascii="Palatino Linotype" w:hAnsi="Palatino Linotype"/>
          <w:i/>
          <w:sz w:val="22"/>
          <w:szCs w:val="22"/>
        </w:rPr>
        <w:t xml:space="preserve">Van den Boogaard v Laumen </w:t>
      </w:r>
      <w:r w:rsidR="00176B5F" w:rsidRPr="00D74B8A">
        <w:rPr>
          <w:rFonts w:ascii="Palatino Linotype" w:hAnsi="Palatino Linotype"/>
          <w:sz w:val="22"/>
          <w:szCs w:val="22"/>
        </w:rPr>
        <w:t>[1997] QB 759).  A choice of court agreement on maintenance will</w:t>
      </w:r>
      <w:r w:rsidR="00DB0B53">
        <w:rPr>
          <w:rFonts w:ascii="Palatino Linotype" w:hAnsi="Palatino Linotype"/>
          <w:sz w:val="22"/>
          <w:szCs w:val="22"/>
        </w:rPr>
        <w:t xml:space="preserve"> therefore</w:t>
      </w:r>
      <w:r w:rsidR="00176B5F" w:rsidRPr="00D74B8A">
        <w:rPr>
          <w:rFonts w:ascii="Palatino Linotype" w:hAnsi="Palatino Linotype"/>
          <w:sz w:val="22"/>
          <w:szCs w:val="22"/>
        </w:rPr>
        <w:t xml:space="preserve"> gene</w:t>
      </w:r>
      <w:r w:rsidR="00FD015B">
        <w:rPr>
          <w:rFonts w:ascii="Palatino Linotype" w:hAnsi="Palatino Linotype"/>
          <w:sz w:val="22"/>
          <w:szCs w:val="22"/>
        </w:rPr>
        <w:t>rally cover financial provision, unless it relates solely to separation of property.</w:t>
      </w:r>
    </w:p>
    <w:p w14:paraId="4271718E" w14:textId="77777777" w:rsidR="00176B5F" w:rsidRPr="00D74B8A" w:rsidRDefault="00176B5F" w:rsidP="00D74B8A">
      <w:pPr>
        <w:spacing w:line="360" w:lineRule="auto"/>
        <w:rPr>
          <w:rFonts w:ascii="Palatino Linotype" w:hAnsi="Palatino Linotype"/>
          <w:sz w:val="22"/>
          <w:szCs w:val="22"/>
        </w:rPr>
      </w:pPr>
    </w:p>
    <w:p w14:paraId="0D48EBDE" w14:textId="6E6E23A7" w:rsidR="00FD015B" w:rsidRDefault="0034164C" w:rsidP="00D74B8A">
      <w:pPr>
        <w:spacing w:line="360" w:lineRule="auto"/>
        <w:rPr>
          <w:rFonts w:ascii="Palatino Linotype" w:hAnsi="Palatino Linotype"/>
          <w:sz w:val="22"/>
          <w:szCs w:val="22"/>
        </w:rPr>
      </w:pPr>
      <w:r>
        <w:rPr>
          <w:rFonts w:ascii="Palatino Linotype" w:hAnsi="Palatino Linotype"/>
          <w:sz w:val="22"/>
          <w:szCs w:val="22"/>
        </w:rPr>
        <w:t xml:space="preserve">[7.3]  </w:t>
      </w:r>
      <w:r w:rsidR="00176B5F" w:rsidRPr="00D74B8A">
        <w:rPr>
          <w:rFonts w:ascii="Palatino Linotype" w:hAnsi="Palatino Linotype"/>
          <w:sz w:val="22"/>
          <w:szCs w:val="22"/>
        </w:rPr>
        <w:t>It is not possible to choose the court for divorce, and the conflict of court provisions</w:t>
      </w:r>
      <w:r w:rsidR="00DB0B53">
        <w:rPr>
          <w:rFonts w:ascii="Palatino Linotype" w:hAnsi="Palatino Linotype"/>
          <w:sz w:val="22"/>
          <w:szCs w:val="22"/>
        </w:rPr>
        <w:t xml:space="preserve"> in </w:t>
      </w:r>
      <w:r w:rsidR="00DB0B53" w:rsidRPr="00D74B8A">
        <w:rPr>
          <w:rFonts w:ascii="Palatino Linotype" w:hAnsi="Palatino Linotype"/>
          <w:sz w:val="22"/>
          <w:szCs w:val="22"/>
        </w:rPr>
        <w:t>Domicile and Matrimonial Proceedings Act 1973</w:t>
      </w:r>
      <w:r w:rsidR="00176B5F" w:rsidRPr="00D74B8A">
        <w:rPr>
          <w:rFonts w:ascii="Palatino Linotype" w:hAnsi="Palatino Linotype"/>
          <w:sz w:val="22"/>
          <w:szCs w:val="22"/>
        </w:rPr>
        <w:t xml:space="preserve"> say (in broad terms) that the court for the place the parties last lived together take priority (schedules 1 and 3, paragraph 8 in each schedule</w:t>
      </w:r>
      <w:r w:rsidR="00FD015B">
        <w:rPr>
          <w:rFonts w:ascii="Palatino Linotype" w:hAnsi="Palatino Linotype"/>
          <w:sz w:val="22"/>
          <w:szCs w:val="22"/>
        </w:rPr>
        <w:t>)</w:t>
      </w:r>
      <w:r w:rsidR="00176B5F" w:rsidRPr="00D74B8A">
        <w:rPr>
          <w:rFonts w:ascii="Palatino Linotype" w:hAnsi="Palatino Linotype"/>
          <w:sz w:val="22"/>
          <w:szCs w:val="22"/>
        </w:rPr>
        <w:t xml:space="preserve">. There is no reported decision on how to deal with a case where priority for </w:t>
      </w:r>
      <w:r w:rsidR="00176B5F" w:rsidRPr="00D74B8A">
        <w:rPr>
          <w:rFonts w:ascii="Palatino Linotype" w:hAnsi="Palatino Linotype"/>
          <w:sz w:val="22"/>
          <w:szCs w:val="22"/>
        </w:rPr>
        <w:lastRenderedPageBreak/>
        <w:t xml:space="preserve">divorce is in a place that cannot deal with financial provision.  </w:t>
      </w:r>
      <w:r w:rsidR="00FF341B" w:rsidRPr="00D74B8A">
        <w:rPr>
          <w:rFonts w:ascii="Palatino Linotype" w:hAnsi="Palatino Linotype"/>
          <w:sz w:val="22"/>
          <w:szCs w:val="22"/>
        </w:rPr>
        <w:t>It would however represent an effective deterrent to a spouse trying to raise an English action in order to seek more than was provided for in a pre-nuptial agreement</w:t>
      </w:r>
      <w:r w:rsidR="00FD015B">
        <w:rPr>
          <w:rFonts w:ascii="Palatino Linotype" w:hAnsi="Palatino Linotype"/>
          <w:sz w:val="22"/>
          <w:szCs w:val="22"/>
        </w:rPr>
        <w:t xml:space="preserve"> if the English court did not have jurisdiction</w:t>
      </w:r>
      <w:r w:rsidR="00FF341B" w:rsidRPr="00D74B8A">
        <w:rPr>
          <w:rFonts w:ascii="Palatino Linotype" w:hAnsi="Palatino Linotype"/>
          <w:sz w:val="22"/>
          <w:szCs w:val="22"/>
        </w:rPr>
        <w:t>.</w:t>
      </w:r>
      <w:r w:rsidR="00FD015B">
        <w:rPr>
          <w:rFonts w:ascii="Palatino Linotype" w:hAnsi="Palatino Linotype"/>
          <w:sz w:val="22"/>
          <w:szCs w:val="22"/>
        </w:rPr>
        <w:t xml:space="preserve">  It may also be possible to seek agreement not to raise divorce proceedings outwith Scotland, if a Scottish court has jurisdiction. This would give rise to interesting arguments about personal bar (or the English equivalent), but there are no guarantees as to success.</w:t>
      </w:r>
    </w:p>
    <w:p w14:paraId="642F30FF" w14:textId="77777777" w:rsidR="00FD015B" w:rsidRDefault="00FD015B" w:rsidP="00D74B8A">
      <w:pPr>
        <w:spacing w:line="360" w:lineRule="auto"/>
        <w:rPr>
          <w:rFonts w:ascii="Palatino Linotype" w:hAnsi="Palatino Linotype"/>
          <w:sz w:val="22"/>
          <w:szCs w:val="22"/>
        </w:rPr>
      </w:pPr>
    </w:p>
    <w:p w14:paraId="151E2630" w14:textId="0668E05B" w:rsidR="00176B5F" w:rsidRPr="00D74B8A" w:rsidRDefault="0034164C" w:rsidP="00D74B8A">
      <w:pPr>
        <w:spacing w:line="360" w:lineRule="auto"/>
        <w:rPr>
          <w:rFonts w:ascii="Palatino Linotype" w:hAnsi="Palatino Linotype"/>
          <w:sz w:val="22"/>
          <w:szCs w:val="22"/>
        </w:rPr>
      </w:pPr>
      <w:r>
        <w:rPr>
          <w:rFonts w:ascii="Palatino Linotype" w:hAnsi="Palatino Linotype"/>
          <w:sz w:val="22"/>
          <w:szCs w:val="22"/>
        </w:rPr>
        <w:t xml:space="preserve">[7.4]  </w:t>
      </w:r>
      <w:r w:rsidR="00FD015B">
        <w:rPr>
          <w:rFonts w:ascii="Palatino Linotype" w:hAnsi="Palatino Linotype"/>
          <w:sz w:val="22"/>
          <w:szCs w:val="22"/>
        </w:rPr>
        <w:t xml:space="preserve">The cross-border issues give rise to the potential for </w:t>
      </w:r>
      <w:r>
        <w:rPr>
          <w:rFonts w:ascii="Palatino Linotype" w:hAnsi="Palatino Linotype"/>
          <w:sz w:val="22"/>
          <w:szCs w:val="22"/>
        </w:rPr>
        <w:t>confusion, complexity and expense.</w:t>
      </w:r>
      <w:r w:rsidR="00FD015B">
        <w:rPr>
          <w:rFonts w:ascii="Palatino Linotype" w:hAnsi="Palatino Linotype"/>
          <w:sz w:val="22"/>
          <w:szCs w:val="22"/>
        </w:rPr>
        <w:t xml:space="preserve"> Further, the choice of court argument turns on an EU Regulation, applied cross-border, and who knows what will happen to such measures post-Brexit.</w:t>
      </w:r>
    </w:p>
    <w:p w14:paraId="2766884C" w14:textId="77777777" w:rsidR="00B0587E" w:rsidRPr="00D74B8A" w:rsidRDefault="00B0587E" w:rsidP="00D74B8A">
      <w:pPr>
        <w:spacing w:line="360" w:lineRule="auto"/>
        <w:rPr>
          <w:rFonts w:ascii="Palatino Linotype" w:hAnsi="Palatino Linotype"/>
          <w:sz w:val="22"/>
          <w:szCs w:val="22"/>
        </w:rPr>
      </w:pPr>
    </w:p>
    <w:p w14:paraId="23879B8F" w14:textId="0073C97F" w:rsidR="00B0587E" w:rsidRPr="00D74B8A" w:rsidRDefault="0034164C" w:rsidP="00D74B8A">
      <w:pPr>
        <w:spacing w:line="360" w:lineRule="auto"/>
        <w:rPr>
          <w:rFonts w:ascii="Palatino Linotype" w:hAnsi="Palatino Linotype"/>
          <w:b/>
          <w:sz w:val="22"/>
          <w:szCs w:val="22"/>
        </w:rPr>
      </w:pPr>
      <w:r>
        <w:rPr>
          <w:rFonts w:ascii="Palatino Linotype" w:hAnsi="Palatino Linotype"/>
          <w:b/>
          <w:sz w:val="22"/>
          <w:szCs w:val="22"/>
        </w:rPr>
        <w:t xml:space="preserve">[8]  </w:t>
      </w:r>
      <w:r w:rsidR="009B768B" w:rsidRPr="00D74B8A">
        <w:rPr>
          <w:rFonts w:ascii="Palatino Linotype" w:hAnsi="Palatino Linotype"/>
          <w:b/>
          <w:sz w:val="22"/>
          <w:szCs w:val="22"/>
        </w:rPr>
        <w:t>Cohabitation agreements</w:t>
      </w:r>
    </w:p>
    <w:p w14:paraId="3D8E4D72" w14:textId="491D64EC" w:rsidR="00D07E65" w:rsidRPr="00D74B8A" w:rsidRDefault="00B46FC6" w:rsidP="00D74B8A">
      <w:pPr>
        <w:spacing w:line="360" w:lineRule="auto"/>
        <w:rPr>
          <w:rFonts w:ascii="Palatino Linotype" w:hAnsi="Palatino Linotype"/>
          <w:sz w:val="22"/>
          <w:szCs w:val="22"/>
        </w:rPr>
      </w:pPr>
      <w:r>
        <w:rPr>
          <w:rFonts w:ascii="Palatino Linotype" w:hAnsi="Palatino Linotype"/>
          <w:sz w:val="22"/>
          <w:szCs w:val="22"/>
        </w:rPr>
        <w:t xml:space="preserve">[8.1]  </w:t>
      </w:r>
      <w:r w:rsidR="0015656E" w:rsidRPr="00D74B8A">
        <w:rPr>
          <w:rFonts w:ascii="Palatino Linotype" w:hAnsi="Palatino Linotype"/>
          <w:sz w:val="22"/>
          <w:szCs w:val="22"/>
        </w:rPr>
        <w:t xml:space="preserve">The Family Law (Scotland) Act 2006 introduced </w:t>
      </w:r>
      <w:r w:rsidR="00D07E65" w:rsidRPr="00D74B8A">
        <w:rPr>
          <w:rFonts w:ascii="Palatino Linotype" w:hAnsi="Palatino Linotype"/>
          <w:sz w:val="22"/>
          <w:szCs w:val="22"/>
        </w:rPr>
        <w:t xml:space="preserve">certain rights for cohabitants.  It is clearly possible to contract out of some rights.  Section 26 sets out a presumption of a right to an equal share in household goods acquired (other than by gift or succession) during the period of cohabitation. The presumption is rebuttable and an agreement could be used to rebut the presumption.  Section 27 provides for money derived from an allowance for joint household expenses or for similar purposes or for property acquired out of such money.  Such money and property is to be treated as belonging to each cohabitant in equal shares, but this time there is express provision for agreements to the contrary.  </w:t>
      </w:r>
    </w:p>
    <w:p w14:paraId="25472D8D" w14:textId="77777777" w:rsidR="00D07E65" w:rsidRPr="00D74B8A" w:rsidRDefault="00D07E65" w:rsidP="00D74B8A">
      <w:pPr>
        <w:spacing w:line="360" w:lineRule="auto"/>
        <w:rPr>
          <w:rFonts w:ascii="Palatino Linotype" w:hAnsi="Palatino Linotype"/>
          <w:sz w:val="22"/>
          <w:szCs w:val="22"/>
        </w:rPr>
      </w:pPr>
    </w:p>
    <w:p w14:paraId="55723C3D" w14:textId="3CBD3692" w:rsidR="0034164C" w:rsidRDefault="00B46FC6" w:rsidP="00B46FC6">
      <w:pPr>
        <w:spacing w:line="360" w:lineRule="auto"/>
        <w:rPr>
          <w:rFonts w:ascii="Palatino Linotype" w:hAnsi="Palatino Linotype"/>
          <w:sz w:val="22"/>
          <w:szCs w:val="22"/>
        </w:rPr>
      </w:pPr>
      <w:r>
        <w:rPr>
          <w:rFonts w:ascii="Palatino Linotype" w:hAnsi="Palatino Linotype"/>
          <w:sz w:val="22"/>
          <w:szCs w:val="22"/>
        </w:rPr>
        <w:t xml:space="preserve">[8.2]  </w:t>
      </w:r>
      <w:r w:rsidR="00D07E65" w:rsidRPr="00D74B8A">
        <w:rPr>
          <w:rFonts w:ascii="Palatino Linotype" w:hAnsi="Palatino Linotype"/>
          <w:sz w:val="22"/>
          <w:szCs w:val="22"/>
        </w:rPr>
        <w:t xml:space="preserve">The most significant right is however probably that in section 28 which allows a cohabitant to claim financial provision.  </w:t>
      </w:r>
      <w:r w:rsidR="0015656E" w:rsidRPr="00D74B8A">
        <w:rPr>
          <w:rFonts w:ascii="Palatino Linotype" w:hAnsi="Palatino Linotype"/>
          <w:sz w:val="22"/>
          <w:szCs w:val="22"/>
        </w:rPr>
        <w:t xml:space="preserve">Given the Scots respect for agreements then it should be possible to exclude a claim for financial provision.  </w:t>
      </w:r>
      <w:r w:rsidR="00D07E65" w:rsidRPr="00D74B8A">
        <w:rPr>
          <w:rFonts w:ascii="Palatino Linotype" w:hAnsi="Palatino Linotype"/>
          <w:sz w:val="22"/>
          <w:szCs w:val="22"/>
        </w:rPr>
        <w:t>In such a case there is no equivalent to section 16 allowing the agreement to be set aside if not fair and reasonable at the time it is entered into.  It may only be reduced on the common law bases for challenging contract</w:t>
      </w:r>
      <w:r w:rsidR="00DB0B53">
        <w:rPr>
          <w:rFonts w:ascii="Palatino Linotype" w:hAnsi="Palatino Linotype"/>
          <w:sz w:val="22"/>
          <w:szCs w:val="22"/>
        </w:rPr>
        <w:t>s, that is</w:t>
      </w:r>
      <w:r w:rsidR="00642031" w:rsidRPr="00D74B8A">
        <w:rPr>
          <w:rFonts w:ascii="Palatino Linotype" w:hAnsi="Palatino Linotype"/>
          <w:sz w:val="22"/>
          <w:szCs w:val="22"/>
        </w:rPr>
        <w:t xml:space="preserve"> fraud, force and fear or facility and circumvention.</w:t>
      </w:r>
      <w:r w:rsidR="00753736" w:rsidRPr="00D74B8A">
        <w:rPr>
          <w:rFonts w:ascii="Palatino Linotype" w:hAnsi="Palatino Linotype"/>
          <w:sz w:val="22"/>
          <w:szCs w:val="22"/>
        </w:rPr>
        <w:t xml:space="preserve">  The same would presumably apply to a discharge of a right to claim provision on death under section 29.</w:t>
      </w:r>
      <w:r w:rsidR="00232306" w:rsidRPr="00D74B8A">
        <w:rPr>
          <w:rFonts w:ascii="Palatino Linotype" w:hAnsi="Palatino Linotype"/>
          <w:sz w:val="22"/>
          <w:szCs w:val="22"/>
        </w:rPr>
        <w:t xml:space="preserve">  The message to cohabitants is that if you contract in these areas, you are likely t</w:t>
      </w:r>
      <w:r w:rsidR="0034164C">
        <w:rPr>
          <w:rFonts w:ascii="Palatino Linotype" w:hAnsi="Palatino Linotype"/>
          <w:sz w:val="22"/>
          <w:szCs w:val="22"/>
        </w:rPr>
        <w:t>o be stuck with the terms of your</w:t>
      </w:r>
      <w:r w:rsidR="00232306" w:rsidRPr="00D74B8A">
        <w:rPr>
          <w:rFonts w:ascii="Palatino Linotype" w:hAnsi="Palatino Linotype"/>
          <w:sz w:val="22"/>
          <w:szCs w:val="22"/>
        </w:rPr>
        <w:t xml:space="preserve"> agreement.  </w:t>
      </w:r>
    </w:p>
    <w:p w14:paraId="1A7DCF79" w14:textId="77777777" w:rsidR="0034164C" w:rsidRDefault="0034164C" w:rsidP="0034164C">
      <w:pPr>
        <w:tabs>
          <w:tab w:val="left" w:pos="1046"/>
        </w:tabs>
        <w:spacing w:line="360" w:lineRule="auto"/>
        <w:rPr>
          <w:rFonts w:ascii="Palatino Linotype" w:hAnsi="Palatino Linotype"/>
          <w:sz w:val="22"/>
          <w:szCs w:val="22"/>
        </w:rPr>
      </w:pPr>
    </w:p>
    <w:p w14:paraId="06BC21FF" w14:textId="76E42A21" w:rsidR="0034164C" w:rsidRDefault="00B46FC6" w:rsidP="00D74B8A">
      <w:pPr>
        <w:spacing w:line="360" w:lineRule="auto"/>
        <w:rPr>
          <w:rFonts w:ascii="Palatino Linotype" w:hAnsi="Palatino Linotype"/>
          <w:b/>
          <w:sz w:val="22"/>
          <w:szCs w:val="22"/>
        </w:rPr>
      </w:pPr>
      <w:r>
        <w:rPr>
          <w:rFonts w:ascii="Palatino Linotype" w:hAnsi="Palatino Linotype"/>
          <w:b/>
          <w:sz w:val="22"/>
          <w:szCs w:val="22"/>
        </w:rPr>
        <w:lastRenderedPageBreak/>
        <w:t xml:space="preserve">[9]  </w:t>
      </w:r>
      <w:r w:rsidR="0034164C">
        <w:rPr>
          <w:rFonts w:ascii="Palatino Linotype" w:hAnsi="Palatino Linotype"/>
          <w:b/>
          <w:sz w:val="22"/>
          <w:szCs w:val="22"/>
        </w:rPr>
        <w:t xml:space="preserve">Conclusions </w:t>
      </w:r>
    </w:p>
    <w:p w14:paraId="7A70D906" w14:textId="4A9BD87C" w:rsidR="0034164C" w:rsidRPr="0034164C" w:rsidRDefault="0034164C" w:rsidP="00D74B8A">
      <w:pPr>
        <w:spacing w:line="360" w:lineRule="auto"/>
        <w:rPr>
          <w:rFonts w:ascii="Palatino Linotype" w:hAnsi="Palatino Linotype"/>
          <w:sz w:val="22"/>
          <w:szCs w:val="22"/>
        </w:rPr>
      </w:pPr>
      <w:r>
        <w:rPr>
          <w:rFonts w:ascii="Palatino Linotype" w:hAnsi="Palatino Linotype"/>
          <w:sz w:val="22"/>
          <w:szCs w:val="22"/>
        </w:rPr>
        <w:t>Do pre-nuptial agreements or equivalent agreements for cohabitants exclude the possibility  of something bad happening?  Well it all depends.  They may limit risk, but like all legal tools must be handled in an informed and intelligent manner, or they will themselve</w:t>
      </w:r>
      <w:r w:rsidR="00DB0B53">
        <w:rPr>
          <w:rFonts w:ascii="Palatino Linotype" w:hAnsi="Palatino Linotype"/>
          <w:sz w:val="22"/>
          <w:szCs w:val="22"/>
        </w:rPr>
        <w:t>s become a source of danger and result in loss in the form of expensive proceedings.</w:t>
      </w:r>
    </w:p>
    <w:p w14:paraId="17E0428A" w14:textId="77777777" w:rsidR="00CF036C" w:rsidRPr="00D74B8A" w:rsidRDefault="00CF036C" w:rsidP="00D74B8A">
      <w:pPr>
        <w:spacing w:line="360" w:lineRule="auto"/>
        <w:rPr>
          <w:rFonts w:ascii="Palatino Linotype" w:hAnsi="Palatino Linotype"/>
          <w:b/>
          <w:sz w:val="22"/>
          <w:szCs w:val="22"/>
        </w:rPr>
      </w:pPr>
    </w:p>
    <w:sectPr w:rsidR="00CF036C" w:rsidRPr="00D74B8A" w:rsidSect="0062637F">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9B678" w14:textId="77777777" w:rsidR="00067D06" w:rsidRDefault="00067D06" w:rsidP="00D74B8A">
      <w:r>
        <w:separator/>
      </w:r>
    </w:p>
  </w:endnote>
  <w:endnote w:type="continuationSeparator" w:id="0">
    <w:p w14:paraId="6698B0B4" w14:textId="77777777" w:rsidR="00067D06" w:rsidRDefault="00067D06" w:rsidP="00D7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CA594" w14:textId="77777777" w:rsidR="00D74B8A" w:rsidRDefault="00D74B8A" w:rsidP="002E2C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C1739B" w14:textId="77777777" w:rsidR="00D74B8A" w:rsidRDefault="00D74B8A" w:rsidP="00D74B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13DD5" w14:textId="77777777" w:rsidR="00D74B8A" w:rsidRPr="00D74B8A" w:rsidRDefault="00D74B8A" w:rsidP="002E2CF9">
    <w:pPr>
      <w:pStyle w:val="Footer"/>
      <w:framePr w:wrap="none" w:vAnchor="text" w:hAnchor="margin" w:xAlign="right" w:y="1"/>
      <w:rPr>
        <w:rStyle w:val="PageNumber"/>
        <w:rFonts w:ascii="Palatino Linotype" w:hAnsi="Palatino Linotype"/>
        <w:sz w:val="20"/>
        <w:szCs w:val="20"/>
      </w:rPr>
    </w:pPr>
    <w:r w:rsidRPr="00D74B8A">
      <w:rPr>
        <w:rStyle w:val="PageNumber"/>
        <w:rFonts w:ascii="Palatino Linotype" w:hAnsi="Palatino Linotype"/>
        <w:sz w:val="20"/>
        <w:szCs w:val="20"/>
      </w:rPr>
      <w:fldChar w:fldCharType="begin"/>
    </w:r>
    <w:r w:rsidRPr="00D74B8A">
      <w:rPr>
        <w:rStyle w:val="PageNumber"/>
        <w:rFonts w:ascii="Palatino Linotype" w:hAnsi="Palatino Linotype"/>
        <w:sz w:val="20"/>
        <w:szCs w:val="20"/>
      </w:rPr>
      <w:instrText xml:space="preserve">PAGE  </w:instrText>
    </w:r>
    <w:r w:rsidRPr="00D74B8A">
      <w:rPr>
        <w:rStyle w:val="PageNumber"/>
        <w:rFonts w:ascii="Palatino Linotype" w:hAnsi="Palatino Linotype"/>
        <w:sz w:val="20"/>
        <w:szCs w:val="20"/>
      </w:rPr>
      <w:fldChar w:fldCharType="separate"/>
    </w:r>
    <w:r w:rsidR="00437652">
      <w:rPr>
        <w:rStyle w:val="PageNumber"/>
        <w:rFonts w:ascii="Palatino Linotype" w:hAnsi="Palatino Linotype"/>
        <w:noProof/>
        <w:sz w:val="20"/>
        <w:szCs w:val="20"/>
      </w:rPr>
      <w:t>1</w:t>
    </w:r>
    <w:r w:rsidRPr="00D74B8A">
      <w:rPr>
        <w:rStyle w:val="PageNumber"/>
        <w:rFonts w:ascii="Palatino Linotype" w:hAnsi="Palatino Linotype"/>
        <w:sz w:val="20"/>
        <w:szCs w:val="20"/>
      </w:rPr>
      <w:fldChar w:fldCharType="end"/>
    </w:r>
  </w:p>
  <w:p w14:paraId="2657EBE4" w14:textId="77777777" w:rsidR="00D74B8A" w:rsidRDefault="00D74B8A" w:rsidP="00D74B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26204" w14:textId="77777777" w:rsidR="00067D06" w:rsidRDefault="00067D06" w:rsidP="00D74B8A">
      <w:r>
        <w:separator/>
      </w:r>
    </w:p>
  </w:footnote>
  <w:footnote w:type="continuationSeparator" w:id="0">
    <w:p w14:paraId="6C2F3086" w14:textId="77777777" w:rsidR="00067D06" w:rsidRDefault="00067D06" w:rsidP="00D74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A4675"/>
    <w:multiLevelType w:val="hybridMultilevel"/>
    <w:tmpl w:val="B8E6F2D2"/>
    <w:lvl w:ilvl="0" w:tplc="FBEE9558">
      <w:start w:val="131"/>
      <w:numFmt w:val="bullet"/>
      <w:lvlText w:val="-"/>
      <w:lvlJc w:val="left"/>
      <w:pPr>
        <w:ind w:left="420" w:hanging="360"/>
      </w:pPr>
      <w:rPr>
        <w:rFonts w:ascii="Palatino Linotype" w:eastAsiaTheme="minorHAnsi" w:hAnsi="Palatino Linotype"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36C"/>
    <w:rsid w:val="000049D2"/>
    <w:rsid w:val="0000602E"/>
    <w:rsid w:val="00020F78"/>
    <w:rsid w:val="000310C0"/>
    <w:rsid w:val="00067D06"/>
    <w:rsid w:val="000700BF"/>
    <w:rsid w:val="00086D8C"/>
    <w:rsid w:val="000A6D9E"/>
    <w:rsid w:val="000D055B"/>
    <w:rsid w:val="000D2F29"/>
    <w:rsid w:val="000E1C3C"/>
    <w:rsid w:val="001234BD"/>
    <w:rsid w:val="0015656E"/>
    <w:rsid w:val="00161111"/>
    <w:rsid w:val="00176B5F"/>
    <w:rsid w:val="00177A9B"/>
    <w:rsid w:val="001A06A5"/>
    <w:rsid w:val="001A7F9D"/>
    <w:rsid w:val="00205B39"/>
    <w:rsid w:val="002128BD"/>
    <w:rsid w:val="00216CD4"/>
    <w:rsid w:val="00232306"/>
    <w:rsid w:val="002358D7"/>
    <w:rsid w:val="0023709F"/>
    <w:rsid w:val="0025466D"/>
    <w:rsid w:val="0029495B"/>
    <w:rsid w:val="002A7719"/>
    <w:rsid w:val="002B0FF0"/>
    <w:rsid w:val="002C53B9"/>
    <w:rsid w:val="002D7454"/>
    <w:rsid w:val="002F0C10"/>
    <w:rsid w:val="0032059A"/>
    <w:rsid w:val="0034164C"/>
    <w:rsid w:val="00343F94"/>
    <w:rsid w:val="00391674"/>
    <w:rsid w:val="003C31B6"/>
    <w:rsid w:val="003C3A92"/>
    <w:rsid w:val="003D7370"/>
    <w:rsid w:val="003F2A27"/>
    <w:rsid w:val="003F6624"/>
    <w:rsid w:val="00433D65"/>
    <w:rsid w:val="00437652"/>
    <w:rsid w:val="0046040D"/>
    <w:rsid w:val="0048457F"/>
    <w:rsid w:val="00485F15"/>
    <w:rsid w:val="0049616E"/>
    <w:rsid w:val="004C2C35"/>
    <w:rsid w:val="0052706E"/>
    <w:rsid w:val="0053256F"/>
    <w:rsid w:val="0054094F"/>
    <w:rsid w:val="005535CF"/>
    <w:rsid w:val="0055765C"/>
    <w:rsid w:val="00582949"/>
    <w:rsid w:val="005839EF"/>
    <w:rsid w:val="00585EB0"/>
    <w:rsid w:val="00592A73"/>
    <w:rsid w:val="005A39F3"/>
    <w:rsid w:val="005A584C"/>
    <w:rsid w:val="00611DCB"/>
    <w:rsid w:val="006172CE"/>
    <w:rsid w:val="00623460"/>
    <w:rsid w:val="0062637F"/>
    <w:rsid w:val="00630F31"/>
    <w:rsid w:val="00642031"/>
    <w:rsid w:val="00682231"/>
    <w:rsid w:val="00687551"/>
    <w:rsid w:val="006978A2"/>
    <w:rsid w:val="00697B46"/>
    <w:rsid w:val="006C0CB8"/>
    <w:rsid w:val="006D407F"/>
    <w:rsid w:val="00700260"/>
    <w:rsid w:val="007143BB"/>
    <w:rsid w:val="007343CD"/>
    <w:rsid w:val="0073483E"/>
    <w:rsid w:val="00741125"/>
    <w:rsid w:val="00753736"/>
    <w:rsid w:val="00756964"/>
    <w:rsid w:val="00766CF4"/>
    <w:rsid w:val="0077002C"/>
    <w:rsid w:val="00787B6E"/>
    <w:rsid w:val="007B4A20"/>
    <w:rsid w:val="007C0F18"/>
    <w:rsid w:val="0080501E"/>
    <w:rsid w:val="008126A1"/>
    <w:rsid w:val="008205E7"/>
    <w:rsid w:val="008C6D99"/>
    <w:rsid w:val="008D0C0A"/>
    <w:rsid w:val="00902A05"/>
    <w:rsid w:val="009077D4"/>
    <w:rsid w:val="00915338"/>
    <w:rsid w:val="00935094"/>
    <w:rsid w:val="009456D5"/>
    <w:rsid w:val="00945911"/>
    <w:rsid w:val="009753D4"/>
    <w:rsid w:val="009B768B"/>
    <w:rsid w:val="009C694B"/>
    <w:rsid w:val="009D3FA8"/>
    <w:rsid w:val="00A24D4B"/>
    <w:rsid w:val="00A2735B"/>
    <w:rsid w:val="00A37E01"/>
    <w:rsid w:val="00A61B0E"/>
    <w:rsid w:val="00A7677B"/>
    <w:rsid w:val="00A97B20"/>
    <w:rsid w:val="00AB051B"/>
    <w:rsid w:val="00AB3336"/>
    <w:rsid w:val="00AC2F05"/>
    <w:rsid w:val="00AC66BB"/>
    <w:rsid w:val="00AE180B"/>
    <w:rsid w:val="00AF5125"/>
    <w:rsid w:val="00B0587E"/>
    <w:rsid w:val="00B3649D"/>
    <w:rsid w:val="00B46FC6"/>
    <w:rsid w:val="00BB221F"/>
    <w:rsid w:val="00BE6A33"/>
    <w:rsid w:val="00C01C96"/>
    <w:rsid w:val="00C40BA7"/>
    <w:rsid w:val="00C46172"/>
    <w:rsid w:val="00C94BDA"/>
    <w:rsid w:val="00CA7CB7"/>
    <w:rsid w:val="00CB040D"/>
    <w:rsid w:val="00CB5C02"/>
    <w:rsid w:val="00CD219C"/>
    <w:rsid w:val="00CD43BE"/>
    <w:rsid w:val="00CD699C"/>
    <w:rsid w:val="00CD6DD9"/>
    <w:rsid w:val="00CF036C"/>
    <w:rsid w:val="00CF786C"/>
    <w:rsid w:val="00D07E65"/>
    <w:rsid w:val="00D176E4"/>
    <w:rsid w:val="00D20F3A"/>
    <w:rsid w:val="00D27252"/>
    <w:rsid w:val="00D37D3C"/>
    <w:rsid w:val="00D426D1"/>
    <w:rsid w:val="00D5466B"/>
    <w:rsid w:val="00D71B6E"/>
    <w:rsid w:val="00D74B8A"/>
    <w:rsid w:val="00D85886"/>
    <w:rsid w:val="00D8785F"/>
    <w:rsid w:val="00DB0B53"/>
    <w:rsid w:val="00DB552D"/>
    <w:rsid w:val="00DC3472"/>
    <w:rsid w:val="00DE20A6"/>
    <w:rsid w:val="00DF1181"/>
    <w:rsid w:val="00E3069B"/>
    <w:rsid w:val="00E3245B"/>
    <w:rsid w:val="00E977E9"/>
    <w:rsid w:val="00ED483D"/>
    <w:rsid w:val="00EE280E"/>
    <w:rsid w:val="00EF10C9"/>
    <w:rsid w:val="00F03DA6"/>
    <w:rsid w:val="00F05A9A"/>
    <w:rsid w:val="00F12126"/>
    <w:rsid w:val="00F24759"/>
    <w:rsid w:val="00F454D5"/>
    <w:rsid w:val="00F610FF"/>
    <w:rsid w:val="00F61782"/>
    <w:rsid w:val="00F84AA0"/>
    <w:rsid w:val="00FB1E1C"/>
    <w:rsid w:val="00FC039E"/>
    <w:rsid w:val="00FC0725"/>
    <w:rsid w:val="00FC43EF"/>
    <w:rsid w:val="00FD015B"/>
    <w:rsid w:val="00FE457B"/>
    <w:rsid w:val="00FF3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CB0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C31B6"/>
    <w:rPr>
      <w:i/>
      <w:iCs/>
    </w:rPr>
  </w:style>
  <w:style w:type="character" w:customStyle="1" w:styleId="apple-converted-space">
    <w:name w:val="apple-converted-space"/>
    <w:basedOn w:val="DefaultParagraphFont"/>
    <w:rsid w:val="003C31B6"/>
  </w:style>
  <w:style w:type="paragraph" w:styleId="ListParagraph">
    <w:name w:val="List Paragraph"/>
    <w:basedOn w:val="Normal"/>
    <w:uiPriority w:val="34"/>
    <w:qFormat/>
    <w:rsid w:val="004C2C35"/>
    <w:pPr>
      <w:ind w:left="720"/>
      <w:contextualSpacing/>
    </w:pPr>
  </w:style>
  <w:style w:type="paragraph" w:styleId="Footer">
    <w:name w:val="footer"/>
    <w:basedOn w:val="Normal"/>
    <w:link w:val="FooterChar"/>
    <w:uiPriority w:val="99"/>
    <w:unhideWhenUsed/>
    <w:rsid w:val="00D74B8A"/>
    <w:pPr>
      <w:tabs>
        <w:tab w:val="center" w:pos="4513"/>
        <w:tab w:val="right" w:pos="9026"/>
      </w:tabs>
    </w:pPr>
  </w:style>
  <w:style w:type="character" w:customStyle="1" w:styleId="FooterChar">
    <w:name w:val="Footer Char"/>
    <w:basedOn w:val="DefaultParagraphFont"/>
    <w:link w:val="Footer"/>
    <w:uiPriority w:val="99"/>
    <w:rsid w:val="00D74B8A"/>
  </w:style>
  <w:style w:type="character" w:styleId="PageNumber">
    <w:name w:val="page number"/>
    <w:basedOn w:val="DefaultParagraphFont"/>
    <w:uiPriority w:val="99"/>
    <w:semiHidden/>
    <w:unhideWhenUsed/>
    <w:rsid w:val="00D74B8A"/>
  </w:style>
  <w:style w:type="paragraph" w:styleId="Header">
    <w:name w:val="header"/>
    <w:basedOn w:val="Normal"/>
    <w:link w:val="HeaderChar"/>
    <w:uiPriority w:val="99"/>
    <w:unhideWhenUsed/>
    <w:rsid w:val="00D74B8A"/>
    <w:pPr>
      <w:tabs>
        <w:tab w:val="center" w:pos="4513"/>
        <w:tab w:val="right" w:pos="9026"/>
      </w:tabs>
    </w:pPr>
  </w:style>
  <w:style w:type="character" w:customStyle="1" w:styleId="HeaderChar">
    <w:name w:val="Header Char"/>
    <w:basedOn w:val="DefaultParagraphFont"/>
    <w:link w:val="Header"/>
    <w:uiPriority w:val="99"/>
    <w:rsid w:val="00D74B8A"/>
  </w:style>
  <w:style w:type="paragraph" w:styleId="BalloonText">
    <w:name w:val="Balloon Text"/>
    <w:basedOn w:val="Normal"/>
    <w:link w:val="BalloonTextChar"/>
    <w:uiPriority w:val="99"/>
    <w:semiHidden/>
    <w:unhideWhenUsed/>
    <w:rsid w:val="00437652"/>
    <w:rPr>
      <w:rFonts w:ascii="Tahoma" w:hAnsi="Tahoma" w:cs="Tahoma"/>
      <w:sz w:val="16"/>
      <w:szCs w:val="16"/>
    </w:rPr>
  </w:style>
  <w:style w:type="character" w:customStyle="1" w:styleId="BalloonTextChar">
    <w:name w:val="Balloon Text Char"/>
    <w:basedOn w:val="DefaultParagraphFont"/>
    <w:link w:val="BalloonText"/>
    <w:uiPriority w:val="99"/>
    <w:semiHidden/>
    <w:rsid w:val="00437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C31B6"/>
    <w:rPr>
      <w:i/>
      <w:iCs/>
    </w:rPr>
  </w:style>
  <w:style w:type="character" w:customStyle="1" w:styleId="apple-converted-space">
    <w:name w:val="apple-converted-space"/>
    <w:basedOn w:val="DefaultParagraphFont"/>
    <w:rsid w:val="003C31B6"/>
  </w:style>
  <w:style w:type="paragraph" w:styleId="ListParagraph">
    <w:name w:val="List Paragraph"/>
    <w:basedOn w:val="Normal"/>
    <w:uiPriority w:val="34"/>
    <w:qFormat/>
    <w:rsid w:val="004C2C35"/>
    <w:pPr>
      <w:ind w:left="720"/>
      <w:contextualSpacing/>
    </w:pPr>
  </w:style>
  <w:style w:type="paragraph" w:styleId="Footer">
    <w:name w:val="footer"/>
    <w:basedOn w:val="Normal"/>
    <w:link w:val="FooterChar"/>
    <w:uiPriority w:val="99"/>
    <w:unhideWhenUsed/>
    <w:rsid w:val="00D74B8A"/>
    <w:pPr>
      <w:tabs>
        <w:tab w:val="center" w:pos="4513"/>
        <w:tab w:val="right" w:pos="9026"/>
      </w:tabs>
    </w:pPr>
  </w:style>
  <w:style w:type="character" w:customStyle="1" w:styleId="FooterChar">
    <w:name w:val="Footer Char"/>
    <w:basedOn w:val="DefaultParagraphFont"/>
    <w:link w:val="Footer"/>
    <w:uiPriority w:val="99"/>
    <w:rsid w:val="00D74B8A"/>
  </w:style>
  <w:style w:type="character" w:styleId="PageNumber">
    <w:name w:val="page number"/>
    <w:basedOn w:val="DefaultParagraphFont"/>
    <w:uiPriority w:val="99"/>
    <w:semiHidden/>
    <w:unhideWhenUsed/>
    <w:rsid w:val="00D74B8A"/>
  </w:style>
  <w:style w:type="paragraph" w:styleId="Header">
    <w:name w:val="header"/>
    <w:basedOn w:val="Normal"/>
    <w:link w:val="HeaderChar"/>
    <w:uiPriority w:val="99"/>
    <w:unhideWhenUsed/>
    <w:rsid w:val="00D74B8A"/>
    <w:pPr>
      <w:tabs>
        <w:tab w:val="center" w:pos="4513"/>
        <w:tab w:val="right" w:pos="9026"/>
      </w:tabs>
    </w:pPr>
  </w:style>
  <w:style w:type="character" w:customStyle="1" w:styleId="HeaderChar">
    <w:name w:val="Header Char"/>
    <w:basedOn w:val="DefaultParagraphFont"/>
    <w:link w:val="Header"/>
    <w:uiPriority w:val="99"/>
    <w:rsid w:val="00D74B8A"/>
  </w:style>
  <w:style w:type="paragraph" w:styleId="BalloonText">
    <w:name w:val="Balloon Text"/>
    <w:basedOn w:val="Normal"/>
    <w:link w:val="BalloonTextChar"/>
    <w:uiPriority w:val="99"/>
    <w:semiHidden/>
    <w:unhideWhenUsed/>
    <w:rsid w:val="00437652"/>
    <w:rPr>
      <w:rFonts w:ascii="Tahoma" w:hAnsi="Tahoma" w:cs="Tahoma"/>
      <w:sz w:val="16"/>
      <w:szCs w:val="16"/>
    </w:rPr>
  </w:style>
  <w:style w:type="character" w:customStyle="1" w:styleId="BalloonTextChar">
    <w:name w:val="Balloon Text Char"/>
    <w:basedOn w:val="DefaultParagraphFont"/>
    <w:link w:val="BalloonText"/>
    <w:uiPriority w:val="99"/>
    <w:semiHidden/>
    <w:rsid w:val="00437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9573">
      <w:bodyDiv w:val="1"/>
      <w:marLeft w:val="0"/>
      <w:marRight w:val="0"/>
      <w:marTop w:val="0"/>
      <w:marBottom w:val="0"/>
      <w:divBdr>
        <w:top w:val="none" w:sz="0" w:space="0" w:color="auto"/>
        <w:left w:val="none" w:sz="0" w:space="0" w:color="auto"/>
        <w:bottom w:val="none" w:sz="0" w:space="0" w:color="auto"/>
        <w:right w:val="none" w:sz="0" w:space="0" w:color="auto"/>
      </w:divBdr>
    </w:div>
    <w:div w:id="221252229">
      <w:bodyDiv w:val="1"/>
      <w:marLeft w:val="0"/>
      <w:marRight w:val="0"/>
      <w:marTop w:val="0"/>
      <w:marBottom w:val="0"/>
      <w:divBdr>
        <w:top w:val="none" w:sz="0" w:space="0" w:color="auto"/>
        <w:left w:val="none" w:sz="0" w:space="0" w:color="auto"/>
        <w:bottom w:val="none" w:sz="0" w:space="0" w:color="auto"/>
        <w:right w:val="none" w:sz="0" w:space="0" w:color="auto"/>
      </w:divBdr>
    </w:div>
    <w:div w:id="580214171">
      <w:bodyDiv w:val="1"/>
      <w:marLeft w:val="0"/>
      <w:marRight w:val="0"/>
      <w:marTop w:val="0"/>
      <w:marBottom w:val="0"/>
      <w:divBdr>
        <w:top w:val="none" w:sz="0" w:space="0" w:color="auto"/>
        <w:left w:val="none" w:sz="0" w:space="0" w:color="auto"/>
        <w:bottom w:val="none" w:sz="0" w:space="0" w:color="auto"/>
        <w:right w:val="none" w:sz="0" w:space="0" w:color="auto"/>
      </w:divBdr>
    </w:div>
    <w:div w:id="730810234">
      <w:bodyDiv w:val="1"/>
      <w:marLeft w:val="0"/>
      <w:marRight w:val="0"/>
      <w:marTop w:val="0"/>
      <w:marBottom w:val="0"/>
      <w:divBdr>
        <w:top w:val="none" w:sz="0" w:space="0" w:color="auto"/>
        <w:left w:val="none" w:sz="0" w:space="0" w:color="auto"/>
        <w:bottom w:val="none" w:sz="0" w:space="0" w:color="auto"/>
        <w:right w:val="none" w:sz="0" w:space="0" w:color="auto"/>
      </w:divBdr>
    </w:div>
    <w:div w:id="1314484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4482</Words>
  <Characters>25550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Janys Scott</dc:creator>
  <cp:lastModifiedBy>Jane Morrison</cp:lastModifiedBy>
  <cp:revision>2</cp:revision>
  <cp:lastPrinted>2017-10-03T21:32:00Z</cp:lastPrinted>
  <dcterms:created xsi:type="dcterms:W3CDTF">2017-10-10T15:25:00Z</dcterms:created>
  <dcterms:modified xsi:type="dcterms:W3CDTF">2017-10-10T15:25:00Z</dcterms:modified>
</cp:coreProperties>
</file>